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0C889" w14:textId="77777777" w:rsidR="00B77971" w:rsidRPr="00B77971" w:rsidRDefault="00B77971" w:rsidP="00B77971">
      <w:pPr>
        <w:shd w:val="clear" w:color="auto" w:fill="FFFFFF"/>
        <w:spacing w:before="100" w:beforeAutospacing="1" w:after="100" w:afterAutospacing="1" w:line="240" w:lineRule="auto"/>
        <w:outlineLvl w:val="0"/>
        <w:rPr>
          <w:rFonts w:ascii="Lato" w:eastAsia="Times New Roman" w:hAnsi="Lato" w:cs="Times New Roman"/>
          <w:color w:val="494C4E"/>
          <w:spacing w:val="3"/>
          <w:kern w:val="36"/>
          <w:sz w:val="48"/>
          <w:szCs w:val="48"/>
        </w:rPr>
      </w:pPr>
      <w:r w:rsidRPr="00B77971">
        <w:rPr>
          <w:rFonts w:ascii="Lato" w:eastAsia="Times New Roman" w:hAnsi="Lato" w:cs="Times New Roman"/>
          <w:color w:val="494C4E"/>
          <w:spacing w:val="3"/>
          <w:kern w:val="36"/>
          <w:sz w:val="48"/>
          <w:szCs w:val="48"/>
        </w:rPr>
        <w:t>SWOT Analysis</w:t>
      </w:r>
    </w:p>
    <w:p w14:paraId="025A17D9"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One process used in strategy formulation consists of an organization analyzing its strengths, weaknesses, opportunities, and threats—called a SWOT analysis. The organization then uses the results of the SWOT analysis to help inform and direct where the organization should be going, strategically speaking.</w:t>
      </w:r>
    </w:p>
    <w:p w14:paraId="55519EC5" w14:textId="77777777" w:rsidR="00B77971" w:rsidRPr="00B77971" w:rsidRDefault="00B77971" w:rsidP="00B779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Strengths</w:t>
      </w:r>
      <w:r w:rsidRPr="00B77971">
        <w:rPr>
          <w:rFonts w:ascii="Times New Roman" w:eastAsia="Times New Roman" w:hAnsi="Times New Roman" w:cs="Times New Roman"/>
          <w:sz w:val="24"/>
          <w:szCs w:val="24"/>
        </w:rPr>
        <w:t>—things the organization does well. These may align very closely with the organization's competitive advantages, or they may be strengths due to other factors.</w:t>
      </w:r>
    </w:p>
    <w:p w14:paraId="3744DB96" w14:textId="77777777" w:rsidR="00B77971" w:rsidRPr="00B77971" w:rsidRDefault="00B77971" w:rsidP="00B779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Weaknesses</w:t>
      </w:r>
      <w:r w:rsidRPr="00B77971">
        <w:rPr>
          <w:rFonts w:ascii="Times New Roman" w:eastAsia="Times New Roman" w:hAnsi="Times New Roman" w:cs="Times New Roman"/>
          <w:sz w:val="24"/>
          <w:szCs w:val="24"/>
        </w:rPr>
        <w:t>—things the organization doesn't do well, for whatever reason.</w:t>
      </w:r>
    </w:p>
    <w:p w14:paraId="67A8E92C" w14:textId="77777777" w:rsidR="00B77971" w:rsidRPr="00B77971" w:rsidRDefault="00B77971" w:rsidP="00B779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Opportunities</w:t>
      </w:r>
      <w:r w:rsidRPr="00B77971">
        <w:rPr>
          <w:rFonts w:ascii="Times New Roman" w:eastAsia="Times New Roman" w:hAnsi="Times New Roman" w:cs="Times New Roman"/>
          <w:sz w:val="24"/>
          <w:szCs w:val="24"/>
        </w:rPr>
        <w:t>—directions the organization could go, given the realities of the external world. These are directions that would benefit the organization, both in short-run and in long-run contexts.</w:t>
      </w:r>
    </w:p>
    <w:p w14:paraId="56063B76" w14:textId="77777777" w:rsidR="00B77971" w:rsidRPr="00B77971" w:rsidRDefault="00B77971" w:rsidP="00B77971">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Threats</w:t>
      </w:r>
      <w:r w:rsidRPr="00B77971">
        <w:rPr>
          <w:rFonts w:ascii="Times New Roman" w:eastAsia="Times New Roman" w:hAnsi="Times New Roman" w:cs="Times New Roman"/>
          <w:sz w:val="24"/>
          <w:szCs w:val="24"/>
        </w:rPr>
        <w:t>—issues occurring outside the organization that can hurt the organization, in both short-run and long-run time contexts.</w:t>
      </w:r>
    </w:p>
    <w:p w14:paraId="48240F15" w14:textId="5AA2254E" w:rsidR="00B77971" w:rsidRPr="00B77971" w:rsidRDefault="00B77971" w:rsidP="00B77971">
      <w:pPr>
        <w:spacing w:after="0" w:line="240" w:lineRule="auto"/>
        <w:jc w:val="center"/>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lastRenderedPageBreak/>
        <w:drawing>
          <wp:inline distT="0" distB="0" distL="0" distR="0" wp14:anchorId="2A7BA339" wp14:editId="14B40EA2">
            <wp:extent cx="5943600" cy="6618605"/>
            <wp:effectExtent l="0" t="0" r="0" b="0"/>
            <wp:docPr id="2" name="Picture 2" descr="Image reflects how the SWOT analysis fits into the different aspects of organizational strateg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flects how the SWOT analysis fits into the different aspects of organizational strategy.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618605"/>
                    </a:xfrm>
                    <a:prstGeom prst="rect">
                      <a:avLst/>
                    </a:prstGeom>
                    <a:noFill/>
                    <a:ln>
                      <a:noFill/>
                    </a:ln>
                  </pic:spPr>
                </pic:pic>
              </a:graphicData>
            </a:graphic>
          </wp:inline>
        </w:drawing>
      </w:r>
    </w:p>
    <w:p w14:paraId="2A638414" w14:textId="77777777" w:rsidR="00B77971" w:rsidRPr="00B77971" w:rsidRDefault="00B77971" w:rsidP="00B77971">
      <w:pPr>
        <w:spacing w:before="100" w:beforeAutospacing="1" w:after="100" w:afterAutospacing="1" w:line="240" w:lineRule="auto"/>
        <w:outlineLvl w:val="2"/>
        <w:rPr>
          <w:rFonts w:ascii="inherit" w:eastAsia="Times New Roman" w:hAnsi="inherit" w:cs="Times New Roman"/>
          <w:b/>
          <w:bCs/>
          <w:sz w:val="27"/>
          <w:szCs w:val="27"/>
        </w:rPr>
      </w:pPr>
      <w:r w:rsidRPr="00B77971">
        <w:rPr>
          <w:rFonts w:ascii="inherit" w:eastAsia="Times New Roman" w:hAnsi="inherit" w:cs="Times New Roman"/>
          <w:b/>
          <w:bCs/>
          <w:sz w:val="27"/>
          <w:szCs w:val="27"/>
        </w:rPr>
        <w:t>An Applied SWOT Model</w:t>
      </w:r>
    </w:p>
    <w:p w14:paraId="46CEB8E0"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The graphic above shows how the SWOT analysis fits into the process. Using the graphic, we can step through the process the organization should follow.</w:t>
      </w:r>
    </w:p>
    <w:p w14:paraId="03973967" w14:textId="77777777" w:rsidR="00B77971" w:rsidRPr="00B77971" w:rsidRDefault="00B77971" w:rsidP="00B779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 xml:space="preserve">The organization starts with its existing business model, specifically isolating its set of competitive advantages. Competitive advantages are critical in this analysis as they are at the heart of the future direction of the organization—these are the advantages the </w:t>
      </w:r>
      <w:r w:rsidRPr="00B77971">
        <w:rPr>
          <w:rFonts w:ascii="Times New Roman" w:eastAsia="Times New Roman" w:hAnsi="Times New Roman" w:cs="Times New Roman"/>
          <w:sz w:val="24"/>
          <w:szCs w:val="24"/>
        </w:rPr>
        <w:lastRenderedPageBreak/>
        <w:t>organization owns that give it an edge over its competitors and should therefore be at the heart of the organization's strategic direction.</w:t>
      </w:r>
    </w:p>
    <w:p w14:paraId="5B81D798" w14:textId="77777777" w:rsidR="00B77971" w:rsidRPr="00B77971" w:rsidRDefault="00B77971" w:rsidP="00B779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The organization should now clearly articulate its set of mission, vision, goals, and objectives (MVGO). Sometimes this is difficult for the organization to do—"What do we as an organization believe in? What do we think is important?"—but this step is vital, as it sets the tone and scope of the organization's strategic direction.</w:t>
      </w:r>
    </w:p>
    <w:p w14:paraId="1F38BE62" w14:textId="77777777" w:rsidR="00B77971" w:rsidRPr="00B77971" w:rsidRDefault="00B77971" w:rsidP="00B7797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Armed with all this information, it is time to begin the SWOT analysis.</w:t>
      </w:r>
    </w:p>
    <w:p w14:paraId="5EEC791C" w14:textId="77777777" w:rsidR="00B77971" w:rsidRPr="00B77971" w:rsidRDefault="00B77971" w:rsidP="00B77971">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The organization starts first with its external analysis—market/industry analysis, competitive analysis, and a general study of social and economic external analysis. Notice that since this is "external analysis," it concentrates on factors occurring outside the organization. Some of the information uncovered in this process will offer opportunities to the organization, and some will threaten the organization. It is important for the organization to inventory </w:t>
      </w:r>
      <w:r w:rsidRPr="00B77971">
        <w:rPr>
          <w:rFonts w:ascii="Times New Roman" w:eastAsia="Times New Roman" w:hAnsi="Times New Roman" w:cs="Times New Roman"/>
          <w:b/>
          <w:bCs/>
          <w:sz w:val="24"/>
          <w:szCs w:val="24"/>
        </w:rPr>
        <w:t>all</w:t>
      </w:r>
      <w:r w:rsidRPr="00B77971">
        <w:rPr>
          <w:rFonts w:ascii="Times New Roman" w:eastAsia="Times New Roman" w:hAnsi="Times New Roman" w:cs="Times New Roman"/>
          <w:sz w:val="24"/>
          <w:szCs w:val="24"/>
        </w:rPr>
        <w:t> threats and opportunities out there, both close to the organization and far away. The organization should also be thinking in terms of short- and long-run time frames—threats and opportunities to be faced soon as well as later. Quite often, this analysis involves a brainstorming component—no opportunity or threat is ignored; all are enumerated and recorded. Members of the strategic planning team are given research assignments and are then sent to do their research. They later reconvene to share their findings.</w:t>
      </w:r>
    </w:p>
    <w:p w14:paraId="30EF1A43" w14:textId="77777777" w:rsidR="00B77971" w:rsidRPr="00B77971" w:rsidRDefault="00B77971" w:rsidP="00B77971">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Next, the organization moves to an internal analysis, analyzing the strengths and weaknesses of the organization. Here, the organization is concentrating on its own strengths and weaknesses, the sources of which are a function of who they are and where they've been as an organization. Again, no strength or weakness is too large or too small; all should be recorded.</w:t>
      </w:r>
    </w:p>
    <w:p w14:paraId="5FCF562D" w14:textId="77777777" w:rsidR="00B77971" w:rsidRPr="00B77971" w:rsidRDefault="00B77971" w:rsidP="00B77971">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Now, it is time to match the information up and prepare to make some decisions. The most desirable aspects to consider are the opportunities:</w:t>
      </w:r>
    </w:p>
    <w:p w14:paraId="3029F462" w14:textId="77777777" w:rsidR="00B77971" w:rsidRPr="00B77971" w:rsidRDefault="00B77971" w:rsidP="00B77971">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First of all, the organization should search for opportunities that match up with its strengths. These are the directions they should definitely think about moving in, as they are the best places for that company to be. But here comes the hard question: Should they eliminate those parts of the organization that were deemed “weaknesses”? Clearly, it depends on many considerations, but the organization should not be afraid to address these issues in a strategic discussion; everything should be on the table. The hope here is to find opportunities that leverage the organization’s strengths, and to consider ways to eliminate or minimize their weaknesses.</w:t>
      </w:r>
    </w:p>
    <w:p w14:paraId="54912CFD" w14:textId="77777777" w:rsidR="00B77971" w:rsidRPr="00B77971" w:rsidRDefault="00B77971" w:rsidP="00B77971">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 xml:space="preserve">They should next consider which threats they are most vulnerable to and decide how to address them. There are many questions to be answered here. Should they abandon any part of their operations because of the threats? How closely does a threatened part of the organization align with its weaknesses? Should they consider new physical locations for parts of their operation to move away from the threat? Is it possible to reduce the threat by a physical action, or is the threat unavoidable? Quite often, organizations will use scenario planning as a way to illuminate possible directions of threats and opportunities in terms of how each could impact </w:t>
      </w:r>
      <w:r w:rsidRPr="00B77971">
        <w:rPr>
          <w:rFonts w:ascii="Times New Roman" w:eastAsia="Times New Roman" w:hAnsi="Times New Roman" w:cs="Times New Roman"/>
          <w:sz w:val="24"/>
          <w:szCs w:val="24"/>
        </w:rPr>
        <w:lastRenderedPageBreak/>
        <w:t>the organization; this analysis helps the organization figure out which ones are most and least important.</w:t>
      </w:r>
    </w:p>
    <w:p w14:paraId="6077DA7F"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Notice that we now have recommended actions to address both opportunities and threats. We now use these recommended actions to formulate strategy at all layers, as shown in the model above.</w:t>
      </w:r>
    </w:p>
    <w:p w14:paraId="71062C40"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Notice the feedback loop on the diagram. As we implement strategic initiatives—and as time passes—we learn more. It is very important that we collect information over time to inform us as we continue to engage in this process...the process is iterative and never-ending.</w:t>
      </w:r>
    </w:p>
    <w:p w14:paraId="14DC8598"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The following graphic shows the vectors of the SWOT:</w:t>
      </w:r>
    </w:p>
    <w:p w14:paraId="6AFDD2E3" w14:textId="3CE00055" w:rsidR="00B77971" w:rsidRPr="00B77971" w:rsidRDefault="00B77971" w:rsidP="00B77971">
      <w:pPr>
        <w:spacing w:after="0" w:line="240" w:lineRule="auto"/>
        <w:jc w:val="center"/>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lastRenderedPageBreak/>
        <w:drawing>
          <wp:inline distT="0" distB="0" distL="0" distR="0" wp14:anchorId="64318178" wp14:editId="5A63AC90">
            <wp:extent cx="5943600" cy="6085205"/>
            <wp:effectExtent l="0" t="0" r="0" b="0"/>
            <wp:docPr id="1" name="Picture 1" descr="Graphic provides a definition of a SW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provides a definition of a SWOT analys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085205"/>
                    </a:xfrm>
                    <a:prstGeom prst="rect">
                      <a:avLst/>
                    </a:prstGeom>
                    <a:noFill/>
                    <a:ln>
                      <a:noFill/>
                    </a:ln>
                  </pic:spPr>
                </pic:pic>
              </a:graphicData>
            </a:graphic>
          </wp:inline>
        </w:drawing>
      </w:r>
    </w:p>
    <w:p w14:paraId="269030EC" w14:textId="77777777" w:rsidR="00B77971" w:rsidRPr="00B77971" w:rsidRDefault="00B77971" w:rsidP="00B779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Red</w:t>
      </w:r>
      <w:r w:rsidRPr="00B77971">
        <w:rPr>
          <w:rFonts w:ascii="Times New Roman" w:eastAsia="Times New Roman" w:hAnsi="Times New Roman" w:cs="Times New Roman"/>
          <w:sz w:val="24"/>
          <w:szCs w:val="24"/>
        </w:rPr>
        <w:t>—a threat that hits you directly in one of your strengths. This is the worst of the four combinations. Let’s say your biggest strength is the blue toaster you make. A competitor engineers a better toaster that is red (threat!), and now you are in trouble. Results that align your strengths with a significant threat could devastate the organization. Your strategy result should have your organization specifically and directly addressing this problem.</w:t>
      </w:r>
    </w:p>
    <w:p w14:paraId="04B19B4A" w14:textId="77777777" w:rsidR="00B77971" w:rsidRPr="00B77971" w:rsidRDefault="00B77971" w:rsidP="00B779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Indigo</w:t>
      </w:r>
      <w:r w:rsidRPr="00B77971">
        <w:rPr>
          <w:rFonts w:ascii="Times New Roman" w:eastAsia="Times New Roman" w:hAnsi="Times New Roman" w:cs="Times New Roman"/>
          <w:sz w:val="24"/>
          <w:szCs w:val="24"/>
        </w:rPr>
        <w:t>—the second worst combination. Consider a threat from the market that hits you exactly where you have a weakness. For example, you make a product and unfortunately you are barely making a profit. A new competitor enters the market importing an even cheaper substitute product—clearly a threat. You can see the dangerous result here. Your strategy result should directly address how to remove or alleviate this problem.</w:t>
      </w:r>
    </w:p>
    <w:p w14:paraId="2C9F1949" w14:textId="77777777" w:rsidR="00B77971" w:rsidRPr="00B77971" w:rsidRDefault="00B77971" w:rsidP="00B779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lastRenderedPageBreak/>
        <w:t>Blue</w:t>
      </w:r>
      <w:r w:rsidRPr="00B77971">
        <w:rPr>
          <w:rFonts w:ascii="Times New Roman" w:eastAsia="Times New Roman" w:hAnsi="Times New Roman" w:cs="Times New Roman"/>
          <w:sz w:val="24"/>
          <w:szCs w:val="24"/>
        </w:rPr>
        <w:t>—there is an opportunity in the market, but to exploit it would require you to use the aspect of your organization that is also your weakness. This is probably not an opportunity you can take advantage of. If the opportunity is strong enough and will last long enough, your strategy result may be to address this weakness in some manner so that you can eventually take advantage of the opportunity. Or, if the opportunity is relatively short-lived, you may just have to pass this time.</w:t>
      </w:r>
    </w:p>
    <w:p w14:paraId="6E99D038" w14:textId="77777777" w:rsidR="00B77971" w:rsidRPr="00B77971" w:rsidRDefault="00B77971" w:rsidP="00B7797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b/>
          <w:bCs/>
          <w:sz w:val="24"/>
          <w:szCs w:val="24"/>
        </w:rPr>
        <w:t>Green</w:t>
      </w:r>
      <w:r w:rsidRPr="00B77971">
        <w:rPr>
          <w:rFonts w:ascii="Times New Roman" w:eastAsia="Times New Roman" w:hAnsi="Times New Roman" w:cs="Times New Roman"/>
          <w:sz w:val="24"/>
          <w:szCs w:val="24"/>
        </w:rPr>
        <w:t>—the best position. If your SWOT results in opportunities that directly align with your strengths, this is a great opportunity for you, and your strategy result should have you fully taking advantage of it.</w:t>
      </w:r>
    </w:p>
    <w:p w14:paraId="1DD5F838"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The results of your SWOT process should give you multiple results, and it’s likely that some will fall into each of the four boxes. Your job as a strategist is to evaluate which pairings you should address most quickly—prioritizing all of the pairings to figure out what to put most of your organization’s energy into. You’ll probably have to ignore some and address others. Making those decisions is the job of leadership.</w:t>
      </w:r>
    </w:p>
    <w:p w14:paraId="34A04A32" w14:textId="77777777" w:rsidR="00B77971" w:rsidRPr="00B77971" w:rsidRDefault="00B77971" w:rsidP="00B77971">
      <w:pPr>
        <w:spacing w:before="100" w:beforeAutospacing="1" w:after="100" w:afterAutospacing="1" w:line="240" w:lineRule="auto"/>
        <w:outlineLvl w:val="2"/>
        <w:rPr>
          <w:rFonts w:ascii="inherit" w:eastAsia="Times New Roman" w:hAnsi="inherit" w:cs="Times New Roman"/>
          <w:b/>
          <w:bCs/>
          <w:sz w:val="27"/>
          <w:szCs w:val="27"/>
        </w:rPr>
      </w:pPr>
      <w:r w:rsidRPr="00B77971">
        <w:rPr>
          <w:rFonts w:ascii="inherit" w:eastAsia="Times New Roman" w:hAnsi="inherit" w:cs="Times New Roman"/>
          <w:b/>
          <w:bCs/>
          <w:sz w:val="27"/>
          <w:szCs w:val="27"/>
        </w:rPr>
        <w:t>SWOT: Conclusion</w:t>
      </w:r>
    </w:p>
    <w:p w14:paraId="044B2F71"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Using the SWOT tool to help you develop strategy is very important because, used properly, it provides the information needed to make decisions about where the organization should head, where it should dedicate its resources and energies, and how it can best fulfill its mission and vision. It is critical that the organization regularly undergo SWOT analyses so it can capture new opportunities and threats in its thinking and planning.</w:t>
      </w:r>
    </w:p>
    <w:p w14:paraId="5367BC45" w14:textId="77777777" w:rsidR="00B77971" w:rsidRPr="00B77971" w:rsidRDefault="00B77971" w:rsidP="00B77971">
      <w:pPr>
        <w:spacing w:before="100" w:beforeAutospacing="1" w:after="100" w:afterAutospacing="1" w:line="240" w:lineRule="auto"/>
        <w:outlineLvl w:val="1"/>
        <w:rPr>
          <w:rFonts w:ascii="inherit" w:eastAsia="Times New Roman" w:hAnsi="inherit" w:cs="Times New Roman"/>
          <w:sz w:val="36"/>
          <w:szCs w:val="36"/>
        </w:rPr>
      </w:pPr>
      <w:r w:rsidRPr="00B77971">
        <w:rPr>
          <w:rFonts w:ascii="inherit" w:eastAsia="Times New Roman" w:hAnsi="inherit" w:cs="Times New Roman"/>
          <w:sz w:val="36"/>
          <w:szCs w:val="36"/>
        </w:rPr>
        <w:t>References</w:t>
      </w:r>
    </w:p>
    <w:p w14:paraId="4DAE8213" w14:textId="77777777" w:rsidR="00B77971" w:rsidRPr="00B77971" w:rsidRDefault="00B77971" w:rsidP="00B77971">
      <w:pPr>
        <w:spacing w:before="100" w:beforeAutospacing="1" w:after="100" w:afterAutospacing="1"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sz w:val="24"/>
          <w:szCs w:val="24"/>
        </w:rPr>
        <w:t>SWOT analysis. (2009). In </w:t>
      </w:r>
      <w:r w:rsidRPr="00B77971">
        <w:rPr>
          <w:rFonts w:ascii="Times New Roman" w:eastAsia="Times New Roman" w:hAnsi="Times New Roman" w:cs="Times New Roman"/>
          <w:i/>
          <w:iCs/>
          <w:sz w:val="24"/>
          <w:szCs w:val="24"/>
        </w:rPr>
        <w:t>Encyclopedia of management</w:t>
      </w:r>
      <w:r w:rsidRPr="00B77971">
        <w:rPr>
          <w:rFonts w:ascii="Times New Roman" w:eastAsia="Times New Roman" w:hAnsi="Times New Roman" w:cs="Times New Roman"/>
          <w:sz w:val="24"/>
          <w:szCs w:val="24"/>
        </w:rPr>
        <w:t> (6th ed., pp. 915-918). Detroit: Gale. Retrieved from http://ezproxy.umgc.edu/login?url=http://go.galegroup.com.ezproxy.umgc.edu/ps/i.do?id=GALE%7CCX3273100290&amp;v=2.1&amp;u=umd_umuc&amp;it=r&amp;p=GVRL&amp;sw=w&amp;asid=86bd270f6e12bb7d0ee947a39effe1ac</w:t>
      </w:r>
    </w:p>
    <w:p w14:paraId="506F5E55"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41F06C1E"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5EF55216"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32A0AE2B"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7FFB67E2"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5E1AE2C2"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0D3CD87F"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24B353D0"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1FCC7811" w14:textId="77777777" w:rsidR="00B77971" w:rsidRDefault="00B77971" w:rsidP="00B77971">
      <w:pPr>
        <w:spacing w:after="150" w:line="240" w:lineRule="auto"/>
        <w:jc w:val="center"/>
        <w:rPr>
          <w:rFonts w:ascii="Helvetica" w:eastAsia="Times New Roman" w:hAnsi="Helvetica" w:cs="Times New Roman"/>
          <w:color w:val="333333"/>
          <w:sz w:val="21"/>
          <w:szCs w:val="21"/>
        </w:rPr>
      </w:pPr>
    </w:p>
    <w:p w14:paraId="0A41E9F6" w14:textId="0EA30A3D" w:rsidR="00B77971" w:rsidRPr="00B77971" w:rsidRDefault="00B77971" w:rsidP="00B77971">
      <w:pPr>
        <w:spacing w:after="150" w:line="240" w:lineRule="auto"/>
        <w:jc w:val="center"/>
        <w:rPr>
          <w:rFonts w:ascii="Helvetica" w:eastAsia="Times New Roman" w:hAnsi="Helvetica" w:cs="Times New Roman"/>
          <w:color w:val="333333"/>
          <w:sz w:val="21"/>
          <w:szCs w:val="21"/>
        </w:rPr>
      </w:pPr>
      <w:hyperlink r:id="rId7" w:tgtFrame="_blank" w:history="1">
        <w:r w:rsidRPr="00B77971">
          <w:rPr>
            <w:rFonts w:ascii="Helvetica" w:eastAsia="Times New Roman" w:hAnsi="Helvetica" w:cs="Times New Roman"/>
            <w:color w:val="337AB7"/>
            <w:sz w:val="21"/>
            <w:szCs w:val="21"/>
            <w:u w:val="single"/>
          </w:rPr>
          <w:t>Making Competitive Moves</w:t>
        </w:r>
      </w:hyperlink>
      <w:r w:rsidRPr="00B77971">
        <w:rPr>
          <w:rFonts w:ascii="Helvetica" w:eastAsia="Times New Roman" w:hAnsi="Helvetica" w:cs="Times New Roman"/>
          <w:color w:val="333333"/>
          <w:sz w:val="21"/>
          <w:szCs w:val="21"/>
        </w:rPr>
        <w:t> from </w:t>
      </w:r>
      <w:r w:rsidRPr="00B77971">
        <w:rPr>
          <w:rFonts w:ascii="Helvetica" w:eastAsia="Times New Roman" w:hAnsi="Helvetica" w:cs="Times New Roman"/>
          <w:i/>
          <w:iCs/>
          <w:color w:val="333333"/>
          <w:sz w:val="21"/>
          <w:szCs w:val="21"/>
        </w:rPr>
        <w:t>Mastering Strategic Management – 1st Canadian Edition</w:t>
      </w:r>
      <w:r w:rsidRPr="00B77971">
        <w:rPr>
          <w:rFonts w:ascii="Helvetica" w:eastAsia="Times New Roman" w:hAnsi="Helvetica" w:cs="Times New Roman"/>
          <w:color w:val="333333"/>
          <w:sz w:val="21"/>
          <w:szCs w:val="21"/>
        </w:rPr>
        <w:t> by Janice Edwards is available under a</w:t>
      </w:r>
      <w:hyperlink r:id="rId8" w:tgtFrame="_blank" w:history="1">
        <w:r w:rsidRPr="00B77971">
          <w:rPr>
            <w:rFonts w:ascii="Helvetica" w:eastAsia="Times New Roman" w:hAnsi="Helvetica" w:cs="Times New Roman"/>
            <w:color w:val="337AB7"/>
            <w:sz w:val="21"/>
            <w:szCs w:val="21"/>
            <w:u w:val="single"/>
          </w:rPr>
          <w:t> Creative Commons Attribution-</w:t>
        </w:r>
        <w:proofErr w:type="spellStart"/>
        <w:r w:rsidRPr="00B77971">
          <w:rPr>
            <w:rFonts w:ascii="Helvetica" w:eastAsia="Times New Roman" w:hAnsi="Helvetica" w:cs="Times New Roman"/>
            <w:color w:val="337AB7"/>
            <w:sz w:val="21"/>
            <w:szCs w:val="21"/>
            <w:u w:val="single"/>
          </w:rPr>
          <w:t>NonCommercial</w:t>
        </w:r>
        <w:proofErr w:type="spellEnd"/>
        <w:r w:rsidRPr="00B77971">
          <w:rPr>
            <w:rFonts w:ascii="Helvetica" w:eastAsia="Times New Roman" w:hAnsi="Helvetica" w:cs="Times New Roman"/>
            <w:color w:val="337AB7"/>
            <w:sz w:val="21"/>
            <w:szCs w:val="21"/>
            <w:u w:val="single"/>
          </w:rPr>
          <w:t>-</w:t>
        </w:r>
        <w:proofErr w:type="spellStart"/>
        <w:r w:rsidRPr="00B77971">
          <w:rPr>
            <w:rFonts w:ascii="Helvetica" w:eastAsia="Times New Roman" w:hAnsi="Helvetica" w:cs="Times New Roman"/>
            <w:color w:val="337AB7"/>
            <w:sz w:val="21"/>
            <w:szCs w:val="21"/>
            <w:u w:val="single"/>
          </w:rPr>
          <w:t>ShareAlike</w:t>
        </w:r>
        <w:proofErr w:type="spellEnd"/>
        <w:r w:rsidRPr="00B77971">
          <w:rPr>
            <w:rFonts w:ascii="Helvetica" w:eastAsia="Times New Roman" w:hAnsi="Helvetica" w:cs="Times New Roman"/>
            <w:color w:val="337AB7"/>
            <w:sz w:val="21"/>
            <w:szCs w:val="21"/>
            <w:u w:val="single"/>
          </w:rPr>
          <w:t xml:space="preserve"> 4.0 International</w:t>
        </w:r>
      </w:hyperlink>
      <w:r w:rsidRPr="00B77971">
        <w:rPr>
          <w:rFonts w:ascii="Helvetica" w:eastAsia="Times New Roman" w:hAnsi="Helvetica" w:cs="Times New Roman"/>
          <w:color w:val="333333"/>
          <w:sz w:val="21"/>
          <w:szCs w:val="21"/>
        </w:rPr>
        <w:t> license. © 2014, Janice Edwards.</w:t>
      </w:r>
    </w:p>
    <w:p w14:paraId="1DB949ED" w14:textId="77777777" w:rsidR="00B77971" w:rsidRPr="00B77971" w:rsidRDefault="00B77971" w:rsidP="00B77971">
      <w:pPr>
        <w:spacing w:before="300" w:after="150" w:line="240" w:lineRule="auto"/>
        <w:outlineLvl w:val="0"/>
        <w:rPr>
          <w:rFonts w:ascii="Helvetica" w:eastAsia="Times New Roman" w:hAnsi="Helvetica" w:cs="Times New Roman"/>
          <w:color w:val="333333"/>
          <w:kern w:val="36"/>
          <w:sz w:val="54"/>
          <w:szCs w:val="54"/>
        </w:rPr>
      </w:pPr>
      <w:r w:rsidRPr="00B77971">
        <w:rPr>
          <w:rFonts w:ascii="Helvetica" w:eastAsia="Times New Roman" w:hAnsi="Helvetica" w:cs="Times New Roman"/>
          <w:color w:val="333333"/>
          <w:kern w:val="36"/>
          <w:sz w:val="54"/>
          <w:szCs w:val="54"/>
        </w:rPr>
        <w:t>Making Competitive Moves</w:t>
      </w:r>
    </w:p>
    <w:p w14:paraId="6855CE7B"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By Janice Edwards</w:t>
      </w:r>
    </w:p>
    <w:p w14:paraId="3EDF262A"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t>Learning Objectives</w:t>
      </w:r>
    </w:p>
    <w:p w14:paraId="11C7FF2A" w14:textId="77777777" w:rsidR="00B77971" w:rsidRPr="00B77971" w:rsidRDefault="00B77971" w:rsidP="00B77971">
      <w:pPr>
        <w:numPr>
          <w:ilvl w:val="0"/>
          <w:numId w:val="4"/>
        </w:numPr>
        <w:spacing w:before="100" w:beforeAutospacing="1" w:after="100" w:afterAutospacing="1"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Understand the advantages and disadvantages of being a first mover.</w:t>
      </w:r>
    </w:p>
    <w:p w14:paraId="4094A2EF" w14:textId="77777777" w:rsidR="00B77971" w:rsidRPr="00B77971" w:rsidRDefault="00B77971" w:rsidP="00B77971">
      <w:pPr>
        <w:numPr>
          <w:ilvl w:val="0"/>
          <w:numId w:val="4"/>
        </w:numPr>
        <w:spacing w:before="100" w:beforeAutospacing="1" w:after="100" w:afterAutospacing="1"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Know how disruptive innovations can change industries.</w:t>
      </w:r>
    </w:p>
    <w:p w14:paraId="213B78E7" w14:textId="77777777" w:rsidR="00B77971" w:rsidRPr="00B77971" w:rsidRDefault="00B77971" w:rsidP="00B77971">
      <w:pPr>
        <w:numPr>
          <w:ilvl w:val="0"/>
          <w:numId w:val="4"/>
        </w:numPr>
        <w:spacing w:before="100" w:beforeAutospacing="1" w:after="100" w:afterAutospacing="1"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Describe two ways that using foothold can benefit firms.</w:t>
      </w:r>
    </w:p>
    <w:p w14:paraId="0199F3BD" w14:textId="77777777" w:rsidR="00B77971" w:rsidRPr="00B77971" w:rsidRDefault="00B77971" w:rsidP="00B77971">
      <w:pPr>
        <w:numPr>
          <w:ilvl w:val="0"/>
          <w:numId w:val="4"/>
        </w:numPr>
        <w:spacing w:before="100" w:beforeAutospacing="1" w:after="100" w:afterAutospacing="1"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Explain how firms can win without fighting using a blue ocean strategy.</w:t>
      </w:r>
    </w:p>
    <w:p w14:paraId="0A284785" w14:textId="77777777" w:rsidR="00B77971" w:rsidRPr="00B77971" w:rsidRDefault="00B77971" w:rsidP="00B77971">
      <w:pPr>
        <w:numPr>
          <w:ilvl w:val="0"/>
          <w:numId w:val="4"/>
        </w:numPr>
        <w:spacing w:before="100" w:beforeAutospacing="1" w:after="100" w:afterAutospacing="1"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Describe the creative process of bricolage.</w:t>
      </w:r>
    </w:p>
    <w:p w14:paraId="464C7316"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t>Being a First Mover: Advantages and Disadvantages</w:t>
      </w:r>
    </w:p>
    <w:p w14:paraId="7DE7FA0D"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A famous cliché contends that "the early bird gets the worm." Applied to the business world, the cliché suggests that certain benefits are available to a </w:t>
      </w:r>
      <w:r w:rsidRPr="00B77971">
        <w:rPr>
          <w:rFonts w:ascii="Helvetica" w:eastAsia="Times New Roman" w:hAnsi="Helvetica" w:cs="Times New Roman"/>
          <w:b/>
          <w:bCs/>
          <w:color w:val="333333"/>
          <w:sz w:val="21"/>
          <w:szCs w:val="21"/>
        </w:rPr>
        <w:t>first mover</w:t>
      </w:r>
      <w:r w:rsidRPr="00B77971">
        <w:rPr>
          <w:rFonts w:ascii="Helvetica" w:eastAsia="Times New Roman" w:hAnsi="Helvetica" w:cs="Times New Roman"/>
          <w:color w:val="333333"/>
          <w:sz w:val="21"/>
          <w:szCs w:val="21"/>
        </w:rPr>
        <w:t>, an initial entrant into a market, that will not be available to later entrants (figure 1).</w:t>
      </w:r>
    </w:p>
    <w:p w14:paraId="4770D230"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Figure 1: Making Competitive Moves</w:t>
      </w:r>
    </w:p>
    <w:p w14:paraId="4E3C52E1" w14:textId="687F4067"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lastRenderedPageBreak/>
        <w:drawing>
          <wp:inline distT="0" distB="0" distL="0" distR="0" wp14:anchorId="7604FEE0" wp14:editId="17D88551">
            <wp:extent cx="5812790" cy="8229600"/>
            <wp:effectExtent l="0" t="0" r="0" b="0"/>
            <wp:docPr id="9" name="Picture 9" descr="Shows statue of Sun Tzu, famous Chinese general from ancient times who is credited with writing The Art of War book which outlines military strategies. Includes: first mover advantage, disruptive innovation, blue ocean strategy, footholds and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ws statue of Sun Tzu, famous Chinese general from ancient times who is credited with writing The Art of War book which outlines military strategies. Includes: first mover advantage, disruptive innovation, blue ocean strategy, footholds and bricol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2790" cy="8229600"/>
                    </a:xfrm>
                    <a:prstGeom prst="rect">
                      <a:avLst/>
                    </a:prstGeom>
                    <a:noFill/>
                    <a:ln>
                      <a:noFill/>
                    </a:ln>
                  </pic:spPr>
                </pic:pic>
              </a:graphicData>
            </a:graphic>
          </wp:inline>
        </w:drawing>
      </w:r>
      <w:r w:rsidRPr="00B77971">
        <w:rPr>
          <w:rFonts w:ascii="Helvetica" w:eastAsia="Times New Roman" w:hAnsi="Helvetica" w:cs="Times New Roman"/>
          <w:color w:val="333333"/>
          <w:sz w:val="21"/>
          <w:szCs w:val="21"/>
        </w:rPr>
        <w:br/>
      </w:r>
    </w:p>
    <w:p w14:paraId="7B445A9A"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A </w:t>
      </w:r>
      <w:r w:rsidRPr="00B77971">
        <w:rPr>
          <w:rFonts w:ascii="Helvetica" w:eastAsia="Times New Roman" w:hAnsi="Helvetica" w:cs="Times New Roman"/>
          <w:b/>
          <w:bCs/>
          <w:color w:val="333333"/>
          <w:sz w:val="21"/>
          <w:szCs w:val="21"/>
        </w:rPr>
        <w:t>first-mover advantage</w:t>
      </w:r>
      <w:r w:rsidRPr="00B77971">
        <w:rPr>
          <w:rFonts w:ascii="Helvetica" w:eastAsia="Times New Roman" w:hAnsi="Helvetica" w:cs="Times New Roman"/>
          <w:color w:val="333333"/>
          <w:sz w:val="21"/>
          <w:szCs w:val="21"/>
        </w:rPr>
        <w:t> exists when making the initial move into a market allows a firm to establish a dominant position that other firms struggle to overcome (figure 2). For example, Apple's creation of a user-friendly, small computer in the early 1980s helped fuel a reputation for creativity and innovation that persists today. KFC was able to develop a strong bond with Chinese officials by being the first Western restaurant chain to enter China. Today, KFC is the leading Western fast-food chain in this rapidly growing market. Genentech's early development of biotechnology allowed it to overcome many of the pharmaceutical industry's traditional entry barriers (such as financial capital and distribution networks) and become a profitable firm. Decisions to be first movers helped all three firms achieve success in their respective industries (</w:t>
      </w:r>
      <w:proofErr w:type="spellStart"/>
      <w:r w:rsidRPr="00B77971">
        <w:rPr>
          <w:rFonts w:ascii="Helvetica" w:eastAsia="Times New Roman" w:hAnsi="Helvetica" w:cs="Times New Roman"/>
          <w:color w:val="333333"/>
          <w:sz w:val="21"/>
          <w:szCs w:val="21"/>
        </w:rPr>
        <w:t>Ketchen</w:t>
      </w:r>
      <w:proofErr w:type="spellEnd"/>
      <w:r w:rsidRPr="00B77971">
        <w:rPr>
          <w:rFonts w:ascii="Helvetica" w:eastAsia="Times New Roman" w:hAnsi="Helvetica" w:cs="Times New Roman"/>
          <w:color w:val="333333"/>
          <w:sz w:val="21"/>
          <w:szCs w:val="21"/>
        </w:rPr>
        <w:t>, Snow, &amp; Street, 2004).</w:t>
      </w:r>
    </w:p>
    <w:p w14:paraId="0854B01F"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Figure 2: First-Mover Advantage</w:t>
      </w:r>
    </w:p>
    <w:p w14:paraId="33F55793" w14:textId="611EC3E5"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drawing>
          <wp:inline distT="0" distB="0" distL="0" distR="0" wp14:anchorId="38B2C0F3" wp14:editId="52FA2308">
            <wp:extent cx="5943600" cy="5456555"/>
            <wp:effectExtent l="0" t="0" r="0" b="0"/>
            <wp:docPr id="8" name="Picture 8" descr="Lists some examples of success and failures of the first mover 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sts some examples of success and failures of the first mover advant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456555"/>
                    </a:xfrm>
                    <a:prstGeom prst="rect">
                      <a:avLst/>
                    </a:prstGeom>
                    <a:noFill/>
                    <a:ln>
                      <a:noFill/>
                    </a:ln>
                  </pic:spPr>
                </pic:pic>
              </a:graphicData>
            </a:graphic>
          </wp:inline>
        </w:drawing>
      </w:r>
      <w:r w:rsidRPr="00B77971">
        <w:rPr>
          <w:rFonts w:ascii="Helvetica" w:eastAsia="Times New Roman" w:hAnsi="Helvetica" w:cs="Times New Roman"/>
          <w:color w:val="333333"/>
          <w:sz w:val="21"/>
          <w:szCs w:val="21"/>
        </w:rPr>
        <w:br/>
      </w:r>
    </w:p>
    <w:p w14:paraId="662D72B9"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 xml:space="preserve">On the other hand, a first mover cannot be sure that customers will embrace its offering, making a first move inherently risky. Apple's attempt to pioneer the personal digital assistant market, through its Newton, was a financial disaster. The first mover also bears the costs of developing the product and educating customers. Others may learn from the first mover's successes and failures, allowing </w:t>
      </w:r>
      <w:r w:rsidRPr="00B77971">
        <w:rPr>
          <w:rFonts w:ascii="Helvetica" w:eastAsia="Times New Roman" w:hAnsi="Helvetica" w:cs="Times New Roman"/>
          <w:color w:val="333333"/>
          <w:sz w:val="21"/>
          <w:szCs w:val="21"/>
        </w:rPr>
        <w:lastRenderedPageBreak/>
        <w:t>them to copy or improve the product at low cost. In creating the Palm Pilot, for example, 3Com was able to build on Apple's earlier mistakes. Matsushita often refines consumer electronic products, such as compact disc players and projection televisions, after Sony or another first mover establishes demand. In many industries, knowledge diffusion and public-information requirements make such imitation increasingly easy.</w:t>
      </w:r>
    </w:p>
    <w:p w14:paraId="7897189E"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First movers must be willing to commit sufficient resources to follow through on their pioneering efforts. RCA and Westinghouse were the first firms to develop active-matrix LCD technology, but their executives did not provide the resources needed to sustain the products spawned by this technology. Today, these firms are not even players in this important business segment that supplies screens for notebook computers, phones, medical instruments, and many other products.</w:t>
      </w:r>
    </w:p>
    <w:p w14:paraId="57985770"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To date, the evidence is mixed regarding whether being a first mover leads to success. One research study of 1,226 businesses over a fifty-five-year period found that first movers typically enjoy an advantage over rivals for about a decade, but other studies have suggested that first moving offers little or no advantages.</w:t>
      </w:r>
    </w:p>
    <w:p w14:paraId="0A5F4F37"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 xml:space="preserve">Perhaps the best question that executives can ask themselves when deciding whether to be a first mover is, how likely is this move to provide my firm with a sustainable competitive advantage? First moves that build on strategic resources such as patented technology </w:t>
      </w:r>
      <w:proofErr w:type="gramStart"/>
      <w:r w:rsidRPr="00B77971">
        <w:rPr>
          <w:rFonts w:ascii="Helvetica" w:eastAsia="Times New Roman" w:hAnsi="Helvetica" w:cs="Times New Roman"/>
          <w:color w:val="333333"/>
          <w:sz w:val="21"/>
          <w:szCs w:val="21"/>
        </w:rPr>
        <w:t>are</w:t>
      </w:r>
      <w:proofErr w:type="gramEnd"/>
      <w:r w:rsidRPr="00B77971">
        <w:rPr>
          <w:rFonts w:ascii="Helvetica" w:eastAsia="Times New Roman" w:hAnsi="Helvetica" w:cs="Times New Roman"/>
          <w:color w:val="333333"/>
          <w:sz w:val="21"/>
          <w:szCs w:val="21"/>
        </w:rPr>
        <w:t xml:space="preserve"> difficult for rivals to imitate and thus are likely to succeed. For example, Pfizer enjoyed a monopoly in the erectile dysfunction market for five years with its patented drug Viagra before two rival products (Cialis and Levitra) were developed by other pharmaceutical firms. Despite facing increased competition, Viagra continues to raise about $1.9 billion in sales for Pfizer annually.</w:t>
      </w:r>
    </w:p>
    <w:p w14:paraId="056E9733"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In contrast, E-Trade Group's 2003 creation of the portable mortgage seemed doomed to fail because it did not leverage strategic resources. This innovation allowed customers to keep an existing mortgage when they move to a new home. Bigger banks could easily copy the portable mortgage if it gained customer acceptance, undermining E-Trade's ability to profit from its first move.</w:t>
      </w:r>
    </w:p>
    <w:p w14:paraId="7EAB2510"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t>Disruptive Innovation</w:t>
      </w:r>
    </w:p>
    <w:p w14:paraId="06B9D718"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Some firms have the opportunity to shake up their industry by introducing a </w:t>
      </w:r>
      <w:r w:rsidRPr="00B77971">
        <w:rPr>
          <w:rFonts w:ascii="Helvetica" w:eastAsia="Times New Roman" w:hAnsi="Helvetica" w:cs="Times New Roman"/>
          <w:b/>
          <w:bCs/>
          <w:color w:val="333333"/>
          <w:sz w:val="21"/>
          <w:szCs w:val="21"/>
        </w:rPr>
        <w:t>disruptive innovation</w:t>
      </w:r>
      <w:r w:rsidRPr="00B77971">
        <w:rPr>
          <w:rFonts w:ascii="Helvetica" w:eastAsia="Times New Roman" w:hAnsi="Helvetica" w:cs="Times New Roman"/>
          <w:color w:val="333333"/>
          <w:sz w:val="21"/>
          <w:szCs w:val="21"/>
        </w:rPr>
        <w:t>—an innovation that conflicts with and threatens to replace traditional approaches to competing within an industry (figure 3). The iPad has proved to be a disruptive innovation since its introduction by Apple in 2010. Many individuals quickly abandoned clunky laptop computers in favor of the sleek tablet format offered by the iPad. And as a first mover, Apple was able to claim a large share of the market.</w:t>
      </w:r>
    </w:p>
    <w:p w14:paraId="227D65FF"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 xml:space="preserve">Figure 3: Shaking the Market </w:t>
      </w:r>
      <w:proofErr w:type="gramStart"/>
      <w:r w:rsidRPr="00B77971">
        <w:rPr>
          <w:rFonts w:ascii="Helvetica" w:eastAsia="Times New Roman" w:hAnsi="Helvetica" w:cs="Times New Roman"/>
          <w:b/>
          <w:bCs/>
          <w:color w:val="333333"/>
          <w:sz w:val="21"/>
          <w:szCs w:val="21"/>
        </w:rPr>
        <w:t>With</w:t>
      </w:r>
      <w:proofErr w:type="gramEnd"/>
      <w:r w:rsidRPr="00B77971">
        <w:rPr>
          <w:rFonts w:ascii="Helvetica" w:eastAsia="Times New Roman" w:hAnsi="Helvetica" w:cs="Times New Roman"/>
          <w:b/>
          <w:bCs/>
          <w:color w:val="333333"/>
          <w:sz w:val="21"/>
          <w:szCs w:val="21"/>
        </w:rPr>
        <w:t xml:space="preserve"> Disruptive Innovations</w:t>
      </w:r>
    </w:p>
    <w:p w14:paraId="3FBEBCE8" w14:textId="3DCA3F6C"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lastRenderedPageBreak/>
        <w:drawing>
          <wp:inline distT="0" distB="0" distL="0" distR="0" wp14:anchorId="3CA10192" wp14:editId="392AE61A">
            <wp:extent cx="5943600" cy="6777355"/>
            <wp:effectExtent l="0" t="0" r="0" b="4445"/>
            <wp:docPr id="7" name="Picture 7" descr="Lists some examples of disruptive innovations, including CDs being replaced with digital downl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sts some examples of disruptive innovations, including CDs being replaced with digital download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777355"/>
                    </a:xfrm>
                    <a:prstGeom prst="rect">
                      <a:avLst/>
                    </a:prstGeom>
                    <a:noFill/>
                    <a:ln>
                      <a:noFill/>
                    </a:ln>
                  </pic:spPr>
                </pic:pic>
              </a:graphicData>
            </a:graphic>
          </wp:inline>
        </w:drawing>
      </w:r>
    </w:p>
    <w:p w14:paraId="1361DEE2"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The iPad story is unusual for the speed of its adoption. Most disruptive innovations are not overnight sensations. Typically, a small group of customers embrace a disruptive innovation as early adopters, and then a critical mass of customers builds over time. For example, few photographers embraced digital cameras initially because they took pictures slowly and offered poor picture quality relative to traditional film cameras. As digital cameras have improved, however, they have gradually won over almost everyone that takes pictures. Interestingly, niche products have returned, such as polaroid instant cameras with self-developing film, and vinyl records. Executives who are deciding whether to pursue a disruptive innovation must first make sure that their firm can sustain itself during an initial period of slow growth.</w:t>
      </w:r>
    </w:p>
    <w:p w14:paraId="2CB04C55"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lastRenderedPageBreak/>
        <w:t>Footholds</w:t>
      </w:r>
    </w:p>
    <w:p w14:paraId="026D369E"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In warfare, many armies establish small positions in geographic territories that they have not occupied previously. These footholds provide value in at least three ways (figure 4). First, owning a foothold can dissuade other armies from attacking in the region. Second, owning a foothold gives an army a quick-strike capability in a territory if the army needs to expand its reach. And finally, a foothold may reveal how aggressively local competition will defend their territory.</w:t>
      </w:r>
    </w:p>
    <w:p w14:paraId="32D507CB"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Figure 4: Footholds</w:t>
      </w:r>
    </w:p>
    <w:p w14:paraId="3198B9A9" w14:textId="542F91B7"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lastRenderedPageBreak/>
        <w:drawing>
          <wp:inline distT="0" distB="0" distL="0" distR="0" wp14:anchorId="07C608F9" wp14:editId="62D65960">
            <wp:extent cx="5943600" cy="6860540"/>
            <wp:effectExtent l="0" t="0" r="0" b="0"/>
            <wp:docPr id="6" name="Picture 6" descr="Lists some examples of footholds in business and military sit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sts some examples of footholds in business and military situation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60540"/>
                    </a:xfrm>
                    <a:prstGeom prst="rect">
                      <a:avLst/>
                    </a:prstGeom>
                    <a:noFill/>
                    <a:ln>
                      <a:noFill/>
                    </a:ln>
                  </pic:spPr>
                </pic:pic>
              </a:graphicData>
            </a:graphic>
          </wp:inline>
        </w:drawing>
      </w:r>
      <w:r w:rsidRPr="00B77971">
        <w:rPr>
          <w:rFonts w:ascii="Helvetica" w:eastAsia="Times New Roman" w:hAnsi="Helvetica" w:cs="Times New Roman"/>
          <w:color w:val="333333"/>
          <w:sz w:val="21"/>
          <w:szCs w:val="21"/>
        </w:rPr>
        <w:br/>
      </w:r>
    </w:p>
    <w:p w14:paraId="4B175ABE"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Organizations may find it valuable to establish footholds in certain markets. Within the context of business, a </w:t>
      </w:r>
      <w:r w:rsidRPr="00B77971">
        <w:rPr>
          <w:rFonts w:ascii="Helvetica" w:eastAsia="Times New Roman" w:hAnsi="Helvetica" w:cs="Times New Roman"/>
          <w:b/>
          <w:bCs/>
          <w:color w:val="333333"/>
          <w:sz w:val="21"/>
          <w:szCs w:val="21"/>
        </w:rPr>
        <w:t>foothold</w:t>
      </w:r>
      <w:r w:rsidRPr="00B77971">
        <w:rPr>
          <w:rFonts w:ascii="Helvetica" w:eastAsia="Times New Roman" w:hAnsi="Helvetica" w:cs="Times New Roman"/>
          <w:color w:val="333333"/>
          <w:sz w:val="21"/>
          <w:szCs w:val="21"/>
        </w:rPr>
        <w:t> is a small position that a firm intentionally establishes within a market in which it does not yet compete (Upson et al., 2014). The Swedish furniture seller IKEA is a firm that relies on footholds. When IKEA enters a new country, it opens just one store. This store is then used as a showcase to establish IKEA's brand. Once IKEA gains brand recognition in a country, more stores are established (Hambrick &amp; Fredrickson, 2005).</w:t>
      </w:r>
    </w:p>
    <w:p w14:paraId="5A00F666"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lastRenderedPageBreak/>
        <w:t xml:space="preserve">Pharmaceutical giants such as Merck often obtain footholds in emerging areas of medicine, commonly through acquisitions. For example, in December 2010 Merck purchased </w:t>
      </w:r>
      <w:proofErr w:type="spellStart"/>
      <w:r w:rsidRPr="00B77971">
        <w:rPr>
          <w:rFonts w:ascii="Helvetica" w:eastAsia="Times New Roman" w:hAnsi="Helvetica" w:cs="Times New Roman"/>
          <w:color w:val="333333"/>
          <w:sz w:val="21"/>
          <w:szCs w:val="21"/>
        </w:rPr>
        <w:t>SmartCells</w:t>
      </w:r>
      <w:proofErr w:type="spellEnd"/>
      <w:r w:rsidRPr="00B77971">
        <w:rPr>
          <w:rFonts w:ascii="Helvetica" w:eastAsia="Times New Roman" w:hAnsi="Helvetica" w:cs="Times New Roman"/>
          <w:color w:val="333333"/>
          <w:sz w:val="21"/>
          <w:szCs w:val="21"/>
        </w:rPr>
        <w:t xml:space="preserve"> Inc., a company that was developing a possible new treatment for diabetes. In May 2011, Merck acquired an equity stake in </w:t>
      </w:r>
      <w:proofErr w:type="spellStart"/>
      <w:r w:rsidRPr="00B77971">
        <w:rPr>
          <w:rFonts w:ascii="Helvetica" w:eastAsia="Times New Roman" w:hAnsi="Helvetica" w:cs="Times New Roman"/>
          <w:color w:val="333333"/>
          <w:sz w:val="21"/>
          <w:szCs w:val="21"/>
        </w:rPr>
        <w:t>BeiGene</w:t>
      </w:r>
      <w:proofErr w:type="spellEnd"/>
      <w:r w:rsidRPr="00B77971">
        <w:rPr>
          <w:rFonts w:ascii="Helvetica" w:eastAsia="Times New Roman" w:hAnsi="Helvetica" w:cs="Times New Roman"/>
          <w:color w:val="333333"/>
          <w:sz w:val="21"/>
          <w:szCs w:val="21"/>
        </w:rPr>
        <w:t xml:space="preserve"> Ltd., a Chinese firm that was developing novel cancer treatments and detection methods. Competitive moves such as these offer Merck relatively low-cost platforms from which it can expand if clinical studies reveal that the treatments are effective.</w:t>
      </w:r>
    </w:p>
    <w:p w14:paraId="71F99CEA"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t>Blue Ocean Strategy</w:t>
      </w:r>
    </w:p>
    <w:p w14:paraId="1005B280"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i/>
          <w:iCs/>
          <w:color w:val="333333"/>
          <w:sz w:val="21"/>
          <w:szCs w:val="21"/>
        </w:rPr>
        <w:t>It is best to win without fighting.</w:t>
      </w:r>
    </w:p>
    <w:p w14:paraId="459D84C8" w14:textId="77777777" w:rsidR="00B77971" w:rsidRPr="00B77971" w:rsidRDefault="00B77971" w:rsidP="00B77971">
      <w:pPr>
        <w:spacing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Sun-Tzu, The Art of War</w:t>
      </w:r>
    </w:p>
    <w:p w14:paraId="46FBD3E8"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A </w:t>
      </w:r>
      <w:r w:rsidRPr="00B77971">
        <w:rPr>
          <w:rFonts w:ascii="Helvetica" w:eastAsia="Times New Roman" w:hAnsi="Helvetica" w:cs="Times New Roman"/>
          <w:b/>
          <w:bCs/>
          <w:color w:val="333333"/>
          <w:sz w:val="21"/>
          <w:szCs w:val="21"/>
        </w:rPr>
        <w:t>blue ocean strategy</w:t>
      </w:r>
      <w:r w:rsidRPr="00B77971">
        <w:rPr>
          <w:rFonts w:ascii="Helvetica" w:eastAsia="Times New Roman" w:hAnsi="Helvetica" w:cs="Times New Roman"/>
          <w:color w:val="333333"/>
          <w:sz w:val="21"/>
          <w:szCs w:val="21"/>
        </w:rPr>
        <w:t xml:space="preserve"> involves creating a new, untapped market rather than competing with rivals in an existing market (Kim &amp; Mauborgne, 2004). Based on a study of 150 strategic moves spanning more than </w:t>
      </w:r>
      <w:proofErr w:type="gramStart"/>
      <w:r w:rsidRPr="00B77971">
        <w:rPr>
          <w:rFonts w:ascii="Helvetica" w:eastAsia="Times New Roman" w:hAnsi="Helvetica" w:cs="Times New Roman"/>
          <w:color w:val="333333"/>
          <w:sz w:val="21"/>
          <w:szCs w:val="21"/>
        </w:rPr>
        <w:t>a 100 years</w:t>
      </w:r>
      <w:proofErr w:type="gramEnd"/>
      <w:r w:rsidRPr="00B77971">
        <w:rPr>
          <w:rFonts w:ascii="Helvetica" w:eastAsia="Times New Roman" w:hAnsi="Helvetica" w:cs="Times New Roman"/>
          <w:color w:val="333333"/>
          <w:sz w:val="21"/>
          <w:szCs w:val="21"/>
        </w:rPr>
        <w:t xml:space="preserve"> and thirty industries, the authors demonstrated that companies can succeed not by battling competitors, but rather by creating "blue oceans" of uncontested market space. These strategic moves can create a leap in value for the company, its buyers, and its employees, while unlocking new demand and making the competition irrelevant. This strategy follows the approach recommended by the ancient master of strategy Sun-Tzu in the quote above. Instead of trying to outmaneuver its competition, a firm using a blue ocean strategy tries to make the competition irrelevant (figure 5). Baseball legend Wee Willie Keeler offered a similar idea when asked how to become a better hitter: "Hit '</w:t>
      </w:r>
      <w:proofErr w:type="spellStart"/>
      <w:r w:rsidRPr="00B77971">
        <w:rPr>
          <w:rFonts w:ascii="Helvetica" w:eastAsia="Times New Roman" w:hAnsi="Helvetica" w:cs="Times New Roman"/>
          <w:color w:val="333333"/>
          <w:sz w:val="21"/>
          <w:szCs w:val="21"/>
        </w:rPr>
        <w:t>em</w:t>
      </w:r>
      <w:proofErr w:type="spellEnd"/>
      <w:r w:rsidRPr="00B77971">
        <w:rPr>
          <w:rFonts w:ascii="Helvetica" w:eastAsia="Times New Roman" w:hAnsi="Helvetica" w:cs="Times New Roman"/>
          <w:color w:val="333333"/>
          <w:sz w:val="21"/>
          <w:szCs w:val="21"/>
        </w:rPr>
        <w:t xml:space="preserve"> where they </w:t>
      </w:r>
      <w:proofErr w:type="spellStart"/>
      <w:r w:rsidRPr="00B77971">
        <w:rPr>
          <w:rFonts w:ascii="Helvetica" w:eastAsia="Times New Roman" w:hAnsi="Helvetica" w:cs="Times New Roman"/>
          <w:color w:val="333333"/>
          <w:sz w:val="21"/>
          <w:szCs w:val="21"/>
        </w:rPr>
        <w:t>ain't</w:t>
      </w:r>
      <w:proofErr w:type="spellEnd"/>
      <w:r w:rsidRPr="00B77971">
        <w:rPr>
          <w:rFonts w:ascii="Helvetica" w:eastAsia="Times New Roman" w:hAnsi="Helvetica" w:cs="Times New Roman"/>
          <w:color w:val="333333"/>
          <w:sz w:val="21"/>
          <w:szCs w:val="21"/>
        </w:rPr>
        <w:t>." In other words, hit the baseball where there are no fielders rather than trying to overwhelm the fielders with a ball hit directly at them.</w:t>
      </w:r>
    </w:p>
    <w:p w14:paraId="45FD50A9"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Nintendo openly acknowledges following a blue ocean strategy in its efforts to invent new markets. In 2006, Perrin Kaplan, Nintendo's vice president of marketing and corporate affairs for Nintendo of America, noted in an interview, "We're making games that are expanding our base of consumers in Japan and America. Yes, those who've always played games are still playing, but we've got people who've never played to start loving it with titles like </w:t>
      </w:r>
      <w:proofErr w:type="spellStart"/>
      <w:r w:rsidRPr="00B77971">
        <w:rPr>
          <w:rFonts w:ascii="Helvetica" w:eastAsia="Times New Roman" w:hAnsi="Helvetica" w:cs="Times New Roman"/>
          <w:i/>
          <w:iCs/>
          <w:color w:val="333333"/>
          <w:sz w:val="21"/>
          <w:szCs w:val="21"/>
        </w:rPr>
        <w:t>Nintendogs</w:t>
      </w:r>
      <w:proofErr w:type="spellEnd"/>
      <w:r w:rsidRPr="00B77971">
        <w:rPr>
          <w:rFonts w:ascii="Helvetica" w:eastAsia="Times New Roman" w:hAnsi="Helvetica" w:cs="Times New Roman"/>
          <w:color w:val="333333"/>
          <w:sz w:val="21"/>
          <w:szCs w:val="21"/>
        </w:rPr>
        <w:t>, </w:t>
      </w:r>
      <w:r w:rsidRPr="00B77971">
        <w:rPr>
          <w:rFonts w:ascii="Helvetica" w:eastAsia="Times New Roman" w:hAnsi="Helvetica" w:cs="Times New Roman"/>
          <w:i/>
          <w:iCs/>
          <w:color w:val="333333"/>
          <w:sz w:val="21"/>
          <w:szCs w:val="21"/>
        </w:rPr>
        <w:t>Animal Crossing</w:t>
      </w:r>
      <w:r w:rsidRPr="00B77971">
        <w:rPr>
          <w:rFonts w:ascii="Helvetica" w:eastAsia="Times New Roman" w:hAnsi="Helvetica" w:cs="Times New Roman"/>
          <w:color w:val="333333"/>
          <w:sz w:val="21"/>
          <w:szCs w:val="21"/>
        </w:rPr>
        <w:t> and </w:t>
      </w:r>
      <w:r w:rsidRPr="00B77971">
        <w:rPr>
          <w:rFonts w:ascii="Helvetica" w:eastAsia="Times New Roman" w:hAnsi="Helvetica" w:cs="Times New Roman"/>
          <w:i/>
          <w:iCs/>
          <w:color w:val="333333"/>
          <w:sz w:val="21"/>
          <w:szCs w:val="21"/>
        </w:rPr>
        <w:t>Brain Games</w:t>
      </w:r>
      <w:r w:rsidRPr="00B77971">
        <w:rPr>
          <w:rFonts w:ascii="Helvetica" w:eastAsia="Times New Roman" w:hAnsi="Helvetica" w:cs="Times New Roman"/>
          <w:color w:val="333333"/>
          <w:sz w:val="21"/>
          <w:szCs w:val="21"/>
        </w:rPr>
        <w:t>. These games are blue ocean in action" (</w:t>
      </w:r>
      <w:proofErr w:type="spellStart"/>
      <w:r w:rsidRPr="00B77971">
        <w:rPr>
          <w:rFonts w:ascii="Helvetica" w:eastAsia="Times New Roman" w:hAnsi="Helvetica" w:cs="Times New Roman"/>
          <w:color w:val="333333"/>
          <w:sz w:val="21"/>
          <w:szCs w:val="21"/>
        </w:rPr>
        <w:t>Rosmarin</w:t>
      </w:r>
      <w:proofErr w:type="spellEnd"/>
      <w:r w:rsidRPr="00B77971">
        <w:rPr>
          <w:rFonts w:ascii="Helvetica" w:eastAsia="Times New Roman" w:hAnsi="Helvetica" w:cs="Times New Roman"/>
          <w:color w:val="333333"/>
          <w:sz w:val="21"/>
          <w:szCs w:val="21"/>
        </w:rPr>
        <w:t>, 2006). Other examples of companies creating new markets include FedEx's invention of the fast-shipping business and eBay's invention of online auctions.</w:t>
      </w:r>
    </w:p>
    <w:p w14:paraId="220C3405"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Figure 5: Blue Ocean Strategy</w:t>
      </w:r>
    </w:p>
    <w:p w14:paraId="49346860" w14:textId="2DCCB786"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lastRenderedPageBreak/>
        <w:drawing>
          <wp:inline distT="0" distB="0" distL="0" distR="0" wp14:anchorId="5352DE25" wp14:editId="31BFFFFF">
            <wp:extent cx="5943600" cy="6860540"/>
            <wp:effectExtent l="0" t="0" r="0" b="0"/>
            <wp:docPr id="5" name="Picture 5" descr="Lists some examples of the blue ocean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ts some examples of the blue ocean strate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860540"/>
                    </a:xfrm>
                    <a:prstGeom prst="rect">
                      <a:avLst/>
                    </a:prstGeom>
                    <a:noFill/>
                    <a:ln>
                      <a:noFill/>
                    </a:ln>
                  </pic:spPr>
                </pic:pic>
              </a:graphicData>
            </a:graphic>
          </wp:inline>
        </w:drawing>
      </w:r>
    </w:p>
    <w:p w14:paraId="7A950C6E"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t>Bricolage</w:t>
      </w:r>
    </w:p>
    <w:p w14:paraId="430AC4D5"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b/>
          <w:bCs/>
          <w:color w:val="333333"/>
          <w:sz w:val="21"/>
          <w:szCs w:val="21"/>
        </w:rPr>
        <w:t>Bricolage</w:t>
      </w:r>
      <w:r w:rsidRPr="00B77971">
        <w:rPr>
          <w:rFonts w:ascii="Helvetica" w:eastAsia="Times New Roman" w:hAnsi="Helvetica" w:cs="Times New Roman"/>
          <w:color w:val="333333"/>
          <w:sz w:val="21"/>
          <w:szCs w:val="21"/>
        </w:rPr>
        <w:t> is a concept that is borrowed from the arts and that, like the blue ocean strategy, stresses moves that create new markets. Bricolage means using whatever materials and resources happen to be available as the inputs into a creative process. A good example is offered by one of the greatest inventions in the history of civilization: the printing press. As noted in the </w:t>
      </w:r>
      <w:r w:rsidRPr="00B77971">
        <w:rPr>
          <w:rFonts w:ascii="Helvetica" w:eastAsia="Times New Roman" w:hAnsi="Helvetica" w:cs="Times New Roman"/>
          <w:i/>
          <w:iCs/>
          <w:color w:val="333333"/>
          <w:sz w:val="21"/>
          <w:szCs w:val="21"/>
        </w:rPr>
        <w:t xml:space="preserve">Wall Street </w:t>
      </w:r>
      <w:r w:rsidRPr="00B77971">
        <w:rPr>
          <w:rFonts w:ascii="Helvetica" w:eastAsia="Times New Roman" w:hAnsi="Helvetica" w:cs="Times New Roman"/>
          <w:i/>
          <w:iCs/>
          <w:color w:val="333333"/>
          <w:sz w:val="21"/>
          <w:szCs w:val="21"/>
        </w:rPr>
        <w:lastRenderedPageBreak/>
        <w:t>Journal</w:t>
      </w:r>
      <w:r w:rsidRPr="00B77971">
        <w:rPr>
          <w:rFonts w:ascii="Helvetica" w:eastAsia="Times New Roman" w:hAnsi="Helvetica" w:cs="Times New Roman"/>
          <w:color w:val="333333"/>
          <w:sz w:val="21"/>
          <w:szCs w:val="21"/>
        </w:rPr>
        <w:t>, "The printing press is a classic combinatorial innovation. Each of its key elements—the movable type, the ink, the paper and the press itself—had been developed separately well before Johannes Gutenberg printed his first Bible in the 15th century. Movable type, for instance, had been independently conceived by a Chinese blacksmith named Pi Sheng four centuries earlier. The press itself was adapted from a screw press that was being used in Germany for the mass production of wine" (Johnson, 2010). Gutenberg took materials that others had created and used them in a unique and productive way.</w:t>
      </w:r>
    </w:p>
    <w:p w14:paraId="0F2DF660"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Three other maneuvers lead to initial success for early entrepreneurs far more often than innovation and the use of the first-mover and blue ocean strategies: combining existing products, incremental improvements in products or services, and creating new or expanded uses for products. Research shows a significantly higher percentage of success via improvements compared with truly new ideas, products, or services.</w:t>
      </w:r>
    </w:p>
    <w:p w14:paraId="71516FED"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Executives apply the concept of bricolage when they combine ideas from existing businesses to create a new business. Think miniature golf is boring? Not when you play at one of Monster Mini Golf's more than twenty-five locations. This company couples a miniature golf course with the thrills of a haunted house. In April 2011, Monster Mini Golf announced plans to partner with the rock band KISS to create a "custom-designed, frightfully fun course [that] will feature animated KISS and monster props lurking in all 18 fairways" in Las Vegas (Monster Mini Golf, 2011).</w:t>
      </w:r>
    </w:p>
    <w:p w14:paraId="5C3FD9FF" w14:textId="149307F3"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drawing>
          <wp:inline distT="0" distB="0" distL="0" distR="0" wp14:anchorId="2D21194B" wp14:editId="263D3124">
            <wp:extent cx="4953000" cy="3714750"/>
            <wp:effectExtent l="0" t="0" r="0" b="0"/>
            <wp:docPr id="4" name="Picture 4" descr="An example of the bricolage strategy, showing TURISAS, a Finnish rock band that combines heavy metal music with the imagery and costumes of Vi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example of the bricolage strategy, showing TURISAS, a Finnish rock band that combines heavy metal music with the imagery and costumes of Vik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189AF211"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r w:rsidRPr="00B77971">
        <w:rPr>
          <w:rFonts w:ascii="Helvetica" w:eastAsia="Times New Roman" w:hAnsi="Helvetica" w:cs="Times New Roman"/>
          <w:color w:val="333333"/>
          <w:sz w:val="18"/>
          <w:szCs w:val="18"/>
        </w:rPr>
        <w:t>Braveheart meets heavy metal when </w:t>
      </w:r>
      <w:hyperlink r:id="rId15" w:tgtFrame="_blank" w:history="1">
        <w:r w:rsidRPr="00B77971">
          <w:rPr>
            <w:rFonts w:ascii="Helvetica" w:eastAsia="Times New Roman" w:hAnsi="Helvetica" w:cs="Times New Roman"/>
            <w:color w:val="337AB7"/>
            <w:sz w:val="18"/>
            <w:szCs w:val="18"/>
            <w:u w:val="single"/>
          </w:rPr>
          <w:t>TURISAS</w:t>
        </w:r>
      </w:hyperlink>
      <w:r w:rsidRPr="00B77971">
        <w:rPr>
          <w:rFonts w:ascii="Helvetica" w:eastAsia="Times New Roman" w:hAnsi="Helvetica" w:cs="Times New Roman"/>
          <w:color w:val="333333"/>
          <w:sz w:val="18"/>
          <w:szCs w:val="18"/>
        </w:rPr>
        <w:t> takes the stage. Used under </w:t>
      </w:r>
      <w:hyperlink r:id="rId16" w:tgtFrame="_blank" w:history="1">
        <w:r w:rsidRPr="00B77971">
          <w:rPr>
            <w:rFonts w:ascii="Helvetica" w:eastAsia="Times New Roman" w:hAnsi="Helvetica" w:cs="Times New Roman"/>
            <w:color w:val="337AB7"/>
            <w:sz w:val="18"/>
            <w:szCs w:val="18"/>
            <w:u w:val="single"/>
          </w:rPr>
          <w:t>CC-BY-SA</w:t>
        </w:r>
      </w:hyperlink>
      <w:r w:rsidRPr="00B77971">
        <w:rPr>
          <w:rFonts w:ascii="Helvetica" w:eastAsia="Times New Roman" w:hAnsi="Helvetica" w:cs="Times New Roman"/>
          <w:color w:val="333333"/>
          <w:sz w:val="18"/>
          <w:szCs w:val="18"/>
        </w:rPr>
        <w:t> license.</w:t>
      </w:r>
    </w:p>
    <w:p w14:paraId="0B453545"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Many an expectant mother has lamented the unflattering nature of maternity clothes and the boring stores that sell them. Belly Couture, a boutique in Lubbock, Texas, that combines stylish fashion and maternity clothes has come to the rescue. The store's clever slogan—"Motherhood is Haute"—reflects the unique niche it fills through bricolage. A wilder example is TURISAS, a Finnish rock band that has created a niche for itself by combining heavy metal music with the imagery and costumes of Vikings. The band's website describes their effort at bricolage as "inspirational cinematic battle metal brilliance."</w:t>
      </w:r>
    </w:p>
    <w:p w14:paraId="7919494B" w14:textId="77777777" w:rsidR="00B77971" w:rsidRPr="00B77971" w:rsidRDefault="00B77971" w:rsidP="00B77971">
      <w:pPr>
        <w:spacing w:before="300" w:after="150" w:line="240" w:lineRule="auto"/>
        <w:outlineLvl w:val="2"/>
        <w:rPr>
          <w:rFonts w:ascii="Helvetica" w:eastAsia="Times New Roman" w:hAnsi="Helvetica" w:cs="Times New Roman"/>
          <w:color w:val="333333"/>
          <w:sz w:val="36"/>
          <w:szCs w:val="36"/>
        </w:rPr>
      </w:pPr>
      <w:r w:rsidRPr="00B77971">
        <w:rPr>
          <w:rFonts w:ascii="Helvetica" w:eastAsia="Times New Roman" w:hAnsi="Helvetica" w:cs="Times New Roman"/>
          <w:color w:val="333333"/>
          <w:sz w:val="36"/>
          <w:szCs w:val="36"/>
        </w:rPr>
        <w:lastRenderedPageBreak/>
        <w:t>Strategy at the Movies</w:t>
      </w:r>
    </w:p>
    <w:p w14:paraId="5A1DA90C"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Executives decide on what competitive moves to take. but these moves are then implemented by frontline employees. Organizational success thus depends just as much on workers such as salespeople excelling in their roles as it does on executives' ability to master strategy. A good illustration is provided in the 2010 film </w:t>
      </w:r>
      <w:r w:rsidRPr="00B77971">
        <w:rPr>
          <w:rFonts w:ascii="Helvetica" w:eastAsia="Times New Roman" w:hAnsi="Helvetica" w:cs="Times New Roman"/>
          <w:i/>
          <w:iCs/>
          <w:color w:val="333333"/>
          <w:sz w:val="21"/>
          <w:szCs w:val="21"/>
        </w:rPr>
        <w:t>Love and Other Drugs</w:t>
      </w:r>
      <w:r w:rsidRPr="00B77971">
        <w:rPr>
          <w:rFonts w:ascii="Helvetica" w:eastAsia="Times New Roman" w:hAnsi="Helvetica" w:cs="Times New Roman"/>
          <w:color w:val="333333"/>
          <w:sz w:val="21"/>
          <w:szCs w:val="21"/>
        </w:rPr>
        <w:t>, which was based on the nonfiction book </w:t>
      </w:r>
      <w:r w:rsidRPr="00B77971">
        <w:rPr>
          <w:rFonts w:ascii="Helvetica" w:eastAsia="Times New Roman" w:hAnsi="Helvetica" w:cs="Times New Roman"/>
          <w:i/>
          <w:iCs/>
          <w:color w:val="333333"/>
          <w:sz w:val="21"/>
          <w:szCs w:val="21"/>
        </w:rPr>
        <w:t>Hard Sell: The Evolution of a Viagra Salesman</w:t>
      </w:r>
      <w:r w:rsidRPr="00B77971">
        <w:rPr>
          <w:rFonts w:ascii="Helvetica" w:eastAsia="Times New Roman" w:hAnsi="Helvetica" w:cs="Times New Roman"/>
          <w:color w:val="333333"/>
          <w:sz w:val="21"/>
          <w:szCs w:val="21"/>
        </w:rPr>
        <w:t>.</w:t>
      </w:r>
    </w:p>
    <w:p w14:paraId="3EEB134B"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As a new sales representative for the drug giant Pfizer, Jamie Randall believed that the best way to increase sales of Pfizer's antidepressant Zoloft in his territory was to convince highly respected physician Dr. Knight to prescribe Zoloft rather than the doctor's preference, Ely Lilly's drug Prozac. Once Dr. Knight began prescribing Zoloft, thought Randall, many other physicians in the area would follow suit.</w:t>
      </w:r>
    </w:p>
    <w:p w14:paraId="5B4FE73B"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This straightforward plan proved more difficult to execute than Randall suspected. Sales reps from Ely Lilly and other pharmaceutical firms aggressively pushed their own firm's products, by providing, for example, all-expenses-paid trips to Hawaii for nurses in Dr. Knight's office. Prozac salesman Trey Hannigan went so far as to beat up Randall after finding out that Randall had stolen and destroyed Prozac samples. While assault is an extreme measure to defend a sales territory, the actions of Hannigan and the other salespeople depicted in </w:t>
      </w:r>
      <w:r w:rsidRPr="00B77971">
        <w:rPr>
          <w:rFonts w:ascii="Helvetica" w:eastAsia="Times New Roman" w:hAnsi="Helvetica" w:cs="Times New Roman"/>
          <w:i/>
          <w:iCs/>
          <w:color w:val="333333"/>
          <w:sz w:val="21"/>
          <w:szCs w:val="21"/>
        </w:rPr>
        <w:t>Love and Other Drugs</w:t>
      </w:r>
      <w:r w:rsidRPr="00B77971">
        <w:rPr>
          <w:rFonts w:ascii="Helvetica" w:eastAsia="Times New Roman" w:hAnsi="Helvetica" w:cs="Times New Roman"/>
          <w:color w:val="333333"/>
          <w:sz w:val="21"/>
          <w:szCs w:val="21"/>
        </w:rPr>
        <w:t> reflect the challenges that frontline employees face when implementing executives' strategic decisions about competitive moves.</w:t>
      </w:r>
    </w:p>
    <w:p w14:paraId="2366AB1C" w14:textId="5BCEF38F" w:rsidR="00B77971" w:rsidRPr="00B77971" w:rsidRDefault="00B77971" w:rsidP="00B77971">
      <w:pPr>
        <w:spacing w:after="0" w:line="240" w:lineRule="auto"/>
        <w:rPr>
          <w:rFonts w:ascii="Times New Roman" w:eastAsia="Times New Roman" w:hAnsi="Times New Roman" w:cs="Times New Roman"/>
          <w:sz w:val="24"/>
          <w:szCs w:val="24"/>
        </w:rPr>
      </w:pPr>
      <w:r w:rsidRPr="00B77971">
        <w:rPr>
          <w:rFonts w:ascii="Times New Roman" w:eastAsia="Times New Roman" w:hAnsi="Times New Roman" w:cs="Times New Roman"/>
          <w:noProof/>
          <w:sz w:val="24"/>
          <w:szCs w:val="24"/>
        </w:rPr>
        <w:drawing>
          <wp:inline distT="0" distB="0" distL="0" distR="0" wp14:anchorId="69D422A4" wp14:editId="4DC3638D">
            <wp:extent cx="4857750" cy="3238500"/>
            <wp:effectExtent l="0" t="0" r="0" b="0"/>
            <wp:docPr id="3" name="Picture 3" descr="A man and a woman eating and smiling at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n and a woman eating and smiling at each oth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a:ln>
                      <a:noFill/>
                    </a:ln>
                  </pic:spPr>
                </pic:pic>
              </a:graphicData>
            </a:graphic>
          </wp:inline>
        </w:drawing>
      </w:r>
    </w:p>
    <w:p w14:paraId="34BF217F" w14:textId="77777777" w:rsidR="00B77971" w:rsidRPr="00B77971" w:rsidRDefault="00B77971" w:rsidP="00B77971">
      <w:pPr>
        <w:spacing w:after="150" w:line="240" w:lineRule="auto"/>
        <w:jc w:val="center"/>
        <w:rPr>
          <w:rFonts w:ascii="Helvetica" w:eastAsia="Times New Roman" w:hAnsi="Helvetica" w:cs="Times New Roman"/>
          <w:color w:val="333333"/>
          <w:sz w:val="21"/>
          <w:szCs w:val="21"/>
        </w:rPr>
      </w:pPr>
      <w:hyperlink r:id="rId18" w:tgtFrame="_blank" w:history="1">
        <w:r w:rsidRPr="00B77971">
          <w:rPr>
            <w:rFonts w:ascii="Helvetica" w:eastAsia="Times New Roman" w:hAnsi="Helvetica" w:cs="Times New Roman"/>
            <w:color w:val="337AB7"/>
            <w:sz w:val="18"/>
            <w:szCs w:val="18"/>
            <w:u w:val="single"/>
          </w:rPr>
          <w:t>Love and Other Drugs</w:t>
        </w:r>
      </w:hyperlink>
      <w:r w:rsidRPr="00B77971">
        <w:rPr>
          <w:rFonts w:ascii="Helvetica" w:eastAsia="Times New Roman" w:hAnsi="Helvetica" w:cs="Times New Roman"/>
          <w:color w:val="333333"/>
          <w:sz w:val="18"/>
          <w:szCs w:val="18"/>
        </w:rPr>
        <w:t> by </w:t>
      </w:r>
      <w:hyperlink r:id="rId19" w:tgtFrame="_blank" w:history="1">
        <w:r w:rsidRPr="00B77971">
          <w:rPr>
            <w:rFonts w:ascii="Helvetica" w:eastAsia="Times New Roman" w:hAnsi="Helvetica" w:cs="Times New Roman"/>
            <w:color w:val="337AB7"/>
            <w:sz w:val="18"/>
            <w:szCs w:val="18"/>
            <w:u w:val="single"/>
          </w:rPr>
          <w:t>Marco</w:t>
        </w:r>
      </w:hyperlink>
      <w:r w:rsidRPr="00B77971">
        <w:rPr>
          <w:rFonts w:ascii="Helvetica" w:eastAsia="Times New Roman" w:hAnsi="Helvetica" w:cs="Times New Roman"/>
          <w:color w:val="333333"/>
          <w:sz w:val="18"/>
          <w:szCs w:val="18"/>
        </w:rPr>
        <w:t>. Used under </w:t>
      </w:r>
      <w:hyperlink r:id="rId20" w:tgtFrame="_blank" w:history="1">
        <w:r w:rsidRPr="00B77971">
          <w:rPr>
            <w:rFonts w:ascii="Helvetica" w:eastAsia="Times New Roman" w:hAnsi="Helvetica" w:cs="Times New Roman"/>
            <w:color w:val="337AB7"/>
            <w:sz w:val="18"/>
            <w:szCs w:val="18"/>
            <w:u w:val="single"/>
          </w:rPr>
          <w:t>CC-BY license</w:t>
        </w:r>
      </w:hyperlink>
      <w:r w:rsidRPr="00B77971">
        <w:rPr>
          <w:rFonts w:ascii="Helvetica" w:eastAsia="Times New Roman" w:hAnsi="Helvetica" w:cs="Times New Roman"/>
          <w:color w:val="333333"/>
          <w:sz w:val="18"/>
          <w:szCs w:val="18"/>
        </w:rPr>
        <w:t>.</w:t>
      </w:r>
    </w:p>
    <w:p w14:paraId="2374D430" w14:textId="77777777" w:rsidR="00B77971" w:rsidRPr="00B77971" w:rsidRDefault="00B77971" w:rsidP="00B77971">
      <w:pPr>
        <w:spacing w:before="300" w:after="150" w:line="240" w:lineRule="auto"/>
        <w:outlineLvl w:val="2"/>
        <w:rPr>
          <w:rFonts w:ascii="Helvetica" w:eastAsia="Times New Roman" w:hAnsi="Helvetica" w:cs="Times New Roman"/>
          <w:color w:val="333333"/>
          <w:sz w:val="36"/>
          <w:szCs w:val="36"/>
        </w:rPr>
      </w:pPr>
      <w:r w:rsidRPr="00B77971">
        <w:rPr>
          <w:rFonts w:ascii="Helvetica" w:eastAsia="Times New Roman" w:hAnsi="Helvetica" w:cs="Times New Roman"/>
          <w:color w:val="333333"/>
          <w:sz w:val="36"/>
          <w:szCs w:val="36"/>
        </w:rPr>
        <w:t>Key Takeaway</w:t>
      </w:r>
    </w:p>
    <w:p w14:paraId="53FD011D"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Firms can take advantage of a number of competitive moves to shake up or otherwise get ahead in an ever-changing business environment.</w:t>
      </w:r>
    </w:p>
    <w:p w14:paraId="2C20A0E9" w14:textId="77777777" w:rsidR="00B77971" w:rsidRPr="00B77971" w:rsidRDefault="00B77971" w:rsidP="00B77971">
      <w:pPr>
        <w:spacing w:before="300" w:after="150" w:line="240" w:lineRule="auto"/>
        <w:outlineLvl w:val="2"/>
        <w:rPr>
          <w:rFonts w:ascii="Helvetica" w:eastAsia="Times New Roman" w:hAnsi="Helvetica" w:cs="Times New Roman"/>
          <w:color w:val="333333"/>
          <w:sz w:val="36"/>
          <w:szCs w:val="36"/>
        </w:rPr>
      </w:pPr>
      <w:r w:rsidRPr="00B77971">
        <w:rPr>
          <w:rFonts w:ascii="Helvetica" w:eastAsia="Times New Roman" w:hAnsi="Helvetica" w:cs="Times New Roman"/>
          <w:color w:val="333333"/>
          <w:sz w:val="36"/>
          <w:szCs w:val="36"/>
        </w:rPr>
        <w:t>Exercises</w:t>
      </w:r>
    </w:p>
    <w:p w14:paraId="7AC9C948" w14:textId="77777777" w:rsidR="00B77971" w:rsidRPr="00B77971" w:rsidRDefault="00B77971" w:rsidP="00B77971">
      <w:pPr>
        <w:numPr>
          <w:ilvl w:val="0"/>
          <w:numId w:val="5"/>
        </w:num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lastRenderedPageBreak/>
        <w:t>Find a key trend from the general environment and develop a blue ocean strategy that might capitalize on that trend.</w:t>
      </w:r>
    </w:p>
    <w:p w14:paraId="2A3BC9AA" w14:textId="77777777" w:rsidR="00B77971" w:rsidRPr="00B77971" w:rsidRDefault="00B77971" w:rsidP="00B77971">
      <w:pPr>
        <w:numPr>
          <w:ilvl w:val="0"/>
          <w:numId w:val="5"/>
        </w:num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Provide an example of a product that, if invented, would work as a disruptive innovation. How widespread would the appeal of this product be?</w:t>
      </w:r>
    </w:p>
    <w:p w14:paraId="52B457FF" w14:textId="77777777" w:rsidR="00B77971" w:rsidRPr="00B77971" w:rsidRDefault="00B77971" w:rsidP="00B77971">
      <w:pPr>
        <w:numPr>
          <w:ilvl w:val="0"/>
          <w:numId w:val="5"/>
        </w:num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How would you propose to develop a new foothold if your goal was to compete in the fashion industry?</w:t>
      </w:r>
    </w:p>
    <w:p w14:paraId="6BA0B849" w14:textId="77777777" w:rsidR="00B77971" w:rsidRPr="00B77971" w:rsidRDefault="00B77971" w:rsidP="00B77971">
      <w:pPr>
        <w:numPr>
          <w:ilvl w:val="0"/>
          <w:numId w:val="5"/>
        </w:num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Develop a new product or service applying the concept of bricolage. In other words, select two existing businesses and describe process needed to combine them.</w:t>
      </w:r>
    </w:p>
    <w:p w14:paraId="0FCAC2E1" w14:textId="77777777" w:rsidR="00B77971" w:rsidRPr="00B77971" w:rsidRDefault="00B77971" w:rsidP="00B77971">
      <w:pPr>
        <w:spacing w:before="300" w:after="150" w:line="240" w:lineRule="auto"/>
        <w:outlineLvl w:val="1"/>
        <w:rPr>
          <w:rFonts w:ascii="Helvetica" w:eastAsia="Times New Roman" w:hAnsi="Helvetica" w:cs="Times New Roman"/>
          <w:color w:val="333333"/>
          <w:sz w:val="45"/>
          <w:szCs w:val="45"/>
        </w:rPr>
      </w:pPr>
      <w:r w:rsidRPr="00B77971">
        <w:rPr>
          <w:rFonts w:ascii="Helvetica" w:eastAsia="Times New Roman" w:hAnsi="Helvetica" w:cs="Times New Roman"/>
          <w:color w:val="333333"/>
          <w:sz w:val="45"/>
          <w:szCs w:val="45"/>
        </w:rPr>
        <w:t>References</w:t>
      </w:r>
    </w:p>
    <w:p w14:paraId="70A2FD0A"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Hambrick, D. C., &amp; Fredrickson, J. W. (2005). Are you sure you have a strategy? </w:t>
      </w:r>
      <w:r w:rsidRPr="00B77971">
        <w:rPr>
          <w:rFonts w:ascii="Helvetica" w:eastAsia="Times New Roman" w:hAnsi="Helvetica" w:cs="Times New Roman"/>
          <w:i/>
          <w:iCs/>
          <w:color w:val="333333"/>
          <w:sz w:val="21"/>
          <w:szCs w:val="21"/>
        </w:rPr>
        <w:t>Academy of Management Executive</w:t>
      </w:r>
      <w:r w:rsidRPr="00B77971">
        <w:rPr>
          <w:rFonts w:ascii="Helvetica" w:eastAsia="Times New Roman" w:hAnsi="Helvetica" w:cs="Times New Roman"/>
          <w:color w:val="333333"/>
          <w:sz w:val="21"/>
          <w:szCs w:val="21"/>
        </w:rPr>
        <w:t>, </w:t>
      </w:r>
      <w:r w:rsidRPr="00B77971">
        <w:rPr>
          <w:rFonts w:ascii="Helvetica" w:eastAsia="Times New Roman" w:hAnsi="Helvetica" w:cs="Times New Roman"/>
          <w:i/>
          <w:iCs/>
          <w:color w:val="333333"/>
          <w:sz w:val="21"/>
          <w:szCs w:val="21"/>
        </w:rPr>
        <w:t>19</w:t>
      </w:r>
      <w:r w:rsidRPr="00B77971">
        <w:rPr>
          <w:rFonts w:ascii="Helvetica" w:eastAsia="Times New Roman" w:hAnsi="Helvetica" w:cs="Times New Roman"/>
          <w:color w:val="333333"/>
          <w:sz w:val="21"/>
          <w:szCs w:val="21"/>
        </w:rPr>
        <w:t>, 51–62.</w:t>
      </w:r>
    </w:p>
    <w:p w14:paraId="37D25787"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Johnson, S. (2010, September 25). The genius of the tinkerer. </w:t>
      </w:r>
      <w:r w:rsidRPr="00B77971">
        <w:rPr>
          <w:rFonts w:ascii="Helvetica" w:eastAsia="Times New Roman" w:hAnsi="Helvetica" w:cs="Times New Roman"/>
          <w:i/>
          <w:iCs/>
          <w:color w:val="333333"/>
          <w:sz w:val="21"/>
          <w:szCs w:val="21"/>
        </w:rPr>
        <w:t>Wall Street Journal</w:t>
      </w:r>
      <w:r w:rsidRPr="00B77971">
        <w:rPr>
          <w:rFonts w:ascii="Helvetica" w:eastAsia="Times New Roman" w:hAnsi="Helvetica" w:cs="Times New Roman"/>
          <w:color w:val="333333"/>
          <w:sz w:val="21"/>
          <w:szCs w:val="21"/>
        </w:rPr>
        <w:t>. Retrieved from http://online.wsj.com/article/SB10001424052748703989304575503730101860838.html</w:t>
      </w:r>
    </w:p>
    <w:p w14:paraId="1B74A94A" w14:textId="77777777" w:rsidR="00B77971" w:rsidRPr="00B77971" w:rsidRDefault="00B77971" w:rsidP="00B77971">
      <w:pPr>
        <w:spacing w:after="150" w:line="240" w:lineRule="auto"/>
        <w:rPr>
          <w:rFonts w:ascii="Helvetica" w:eastAsia="Times New Roman" w:hAnsi="Helvetica" w:cs="Times New Roman"/>
          <w:color w:val="333333"/>
          <w:sz w:val="21"/>
          <w:szCs w:val="21"/>
        </w:rPr>
      </w:pPr>
      <w:proofErr w:type="spellStart"/>
      <w:r w:rsidRPr="00B77971">
        <w:rPr>
          <w:rFonts w:ascii="Helvetica" w:eastAsia="Times New Roman" w:hAnsi="Helvetica" w:cs="Times New Roman"/>
          <w:color w:val="333333"/>
          <w:sz w:val="21"/>
          <w:szCs w:val="21"/>
        </w:rPr>
        <w:t>Ketchen</w:t>
      </w:r>
      <w:proofErr w:type="spellEnd"/>
      <w:r w:rsidRPr="00B77971">
        <w:rPr>
          <w:rFonts w:ascii="Helvetica" w:eastAsia="Times New Roman" w:hAnsi="Helvetica" w:cs="Times New Roman"/>
          <w:color w:val="333333"/>
          <w:sz w:val="21"/>
          <w:szCs w:val="21"/>
        </w:rPr>
        <w:t xml:space="preserve">, D. J., Snow, C., &amp; Street, V. (2004). Improving firm performance by matching strategic </w:t>
      </w:r>
      <w:proofErr w:type="gramStart"/>
      <w:r w:rsidRPr="00B77971">
        <w:rPr>
          <w:rFonts w:ascii="Helvetica" w:eastAsia="Times New Roman" w:hAnsi="Helvetica" w:cs="Times New Roman"/>
          <w:color w:val="333333"/>
          <w:sz w:val="21"/>
          <w:szCs w:val="21"/>
        </w:rPr>
        <w:t>decision making</w:t>
      </w:r>
      <w:proofErr w:type="gramEnd"/>
      <w:r w:rsidRPr="00B77971">
        <w:rPr>
          <w:rFonts w:ascii="Helvetica" w:eastAsia="Times New Roman" w:hAnsi="Helvetica" w:cs="Times New Roman"/>
          <w:color w:val="333333"/>
          <w:sz w:val="21"/>
          <w:szCs w:val="21"/>
        </w:rPr>
        <w:t xml:space="preserve"> processes to competitive dynamics. </w:t>
      </w:r>
      <w:r w:rsidRPr="00B77971">
        <w:rPr>
          <w:rFonts w:ascii="Helvetica" w:eastAsia="Times New Roman" w:hAnsi="Helvetica" w:cs="Times New Roman"/>
          <w:i/>
          <w:iCs/>
          <w:color w:val="333333"/>
          <w:sz w:val="21"/>
          <w:szCs w:val="21"/>
        </w:rPr>
        <w:t>Academy of Management Executive</w:t>
      </w:r>
      <w:r w:rsidRPr="00B77971">
        <w:rPr>
          <w:rFonts w:ascii="Helvetica" w:eastAsia="Times New Roman" w:hAnsi="Helvetica" w:cs="Times New Roman"/>
          <w:color w:val="333333"/>
          <w:sz w:val="21"/>
          <w:szCs w:val="21"/>
        </w:rPr>
        <w:t>, </w:t>
      </w:r>
      <w:r w:rsidRPr="00B77971">
        <w:rPr>
          <w:rFonts w:ascii="Helvetica" w:eastAsia="Times New Roman" w:hAnsi="Helvetica" w:cs="Times New Roman"/>
          <w:i/>
          <w:iCs/>
          <w:color w:val="333333"/>
          <w:sz w:val="21"/>
          <w:szCs w:val="21"/>
        </w:rPr>
        <w:t>19</w:t>
      </w:r>
      <w:r w:rsidRPr="00B77971">
        <w:rPr>
          <w:rFonts w:ascii="Helvetica" w:eastAsia="Times New Roman" w:hAnsi="Helvetica" w:cs="Times New Roman"/>
          <w:color w:val="333333"/>
          <w:sz w:val="21"/>
          <w:szCs w:val="21"/>
        </w:rPr>
        <w:t>(4), 29–43.</w:t>
      </w:r>
    </w:p>
    <w:p w14:paraId="658F4E27"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Kim, W. C., &amp; Mauborgne, R. (2004, October). Blue ocean strategy. </w:t>
      </w:r>
      <w:r w:rsidRPr="00B77971">
        <w:rPr>
          <w:rFonts w:ascii="Helvetica" w:eastAsia="Times New Roman" w:hAnsi="Helvetica" w:cs="Times New Roman"/>
          <w:i/>
          <w:iCs/>
          <w:color w:val="333333"/>
          <w:sz w:val="21"/>
          <w:szCs w:val="21"/>
        </w:rPr>
        <w:t>Harvard Business Review</w:t>
      </w:r>
      <w:r w:rsidRPr="00B77971">
        <w:rPr>
          <w:rFonts w:ascii="Helvetica" w:eastAsia="Times New Roman" w:hAnsi="Helvetica" w:cs="Times New Roman"/>
          <w:color w:val="333333"/>
          <w:sz w:val="21"/>
          <w:szCs w:val="21"/>
        </w:rPr>
        <w:t>, 76–85.</w:t>
      </w:r>
    </w:p>
    <w:p w14:paraId="45B618F1"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Monster Mini Golf. (2011, April 28). </w:t>
      </w:r>
      <w:r w:rsidRPr="00B77971">
        <w:rPr>
          <w:rFonts w:ascii="Helvetica" w:eastAsia="Times New Roman" w:hAnsi="Helvetica" w:cs="Times New Roman"/>
          <w:i/>
          <w:iCs/>
          <w:color w:val="333333"/>
          <w:sz w:val="21"/>
          <w:szCs w:val="21"/>
        </w:rPr>
        <w:t>KISS Mini Golf to rock Las Vegas this fall</w:t>
      </w:r>
      <w:r w:rsidRPr="00B77971">
        <w:rPr>
          <w:rFonts w:ascii="Helvetica" w:eastAsia="Times New Roman" w:hAnsi="Helvetica" w:cs="Times New Roman"/>
          <w:color w:val="333333"/>
          <w:sz w:val="21"/>
          <w:szCs w:val="21"/>
        </w:rPr>
        <w:t>. Retrieved from http://www.monsterminigolf.com/mmgkiss.html</w:t>
      </w:r>
    </w:p>
    <w:p w14:paraId="75E7A92B" w14:textId="77777777" w:rsidR="00B77971" w:rsidRPr="00B77971" w:rsidRDefault="00B77971" w:rsidP="00B77971">
      <w:pPr>
        <w:spacing w:after="150" w:line="240" w:lineRule="auto"/>
        <w:rPr>
          <w:rFonts w:ascii="Helvetica" w:eastAsia="Times New Roman" w:hAnsi="Helvetica" w:cs="Times New Roman"/>
          <w:color w:val="333333"/>
          <w:sz w:val="21"/>
          <w:szCs w:val="21"/>
        </w:rPr>
      </w:pPr>
      <w:proofErr w:type="spellStart"/>
      <w:r w:rsidRPr="00B77971">
        <w:rPr>
          <w:rFonts w:ascii="Helvetica" w:eastAsia="Times New Roman" w:hAnsi="Helvetica" w:cs="Times New Roman"/>
          <w:color w:val="333333"/>
          <w:sz w:val="21"/>
          <w:szCs w:val="21"/>
        </w:rPr>
        <w:t>Rosmarin</w:t>
      </w:r>
      <w:proofErr w:type="spellEnd"/>
      <w:r w:rsidRPr="00B77971">
        <w:rPr>
          <w:rFonts w:ascii="Helvetica" w:eastAsia="Times New Roman" w:hAnsi="Helvetica" w:cs="Times New Roman"/>
          <w:color w:val="333333"/>
          <w:sz w:val="21"/>
          <w:szCs w:val="21"/>
        </w:rPr>
        <w:t>, R. (2006, February 7). Nintendo's new look. </w:t>
      </w:r>
      <w:r w:rsidRPr="00B77971">
        <w:rPr>
          <w:rFonts w:ascii="Helvetica" w:eastAsia="Times New Roman" w:hAnsi="Helvetica" w:cs="Times New Roman"/>
          <w:i/>
          <w:iCs/>
          <w:color w:val="333333"/>
          <w:sz w:val="21"/>
          <w:szCs w:val="21"/>
        </w:rPr>
        <w:t>Forbes</w:t>
      </w:r>
      <w:r w:rsidRPr="00B77971">
        <w:rPr>
          <w:rFonts w:ascii="Helvetica" w:eastAsia="Times New Roman" w:hAnsi="Helvetica" w:cs="Times New Roman"/>
          <w:color w:val="333333"/>
          <w:sz w:val="21"/>
          <w:szCs w:val="21"/>
        </w:rPr>
        <w:t>. Retrieved from http://www.forbes.com/2006/02/07/xbox-ps3-revolution-cx_rr_0207nintendo.html</w:t>
      </w:r>
    </w:p>
    <w:p w14:paraId="5351CBBC" w14:textId="77777777" w:rsidR="00B77971" w:rsidRPr="00B77971" w:rsidRDefault="00B77971" w:rsidP="00B77971">
      <w:pPr>
        <w:spacing w:after="150" w:line="240" w:lineRule="auto"/>
        <w:rPr>
          <w:rFonts w:ascii="Helvetica" w:eastAsia="Times New Roman" w:hAnsi="Helvetica" w:cs="Times New Roman"/>
          <w:color w:val="333333"/>
          <w:sz w:val="21"/>
          <w:szCs w:val="21"/>
        </w:rPr>
      </w:pPr>
      <w:r w:rsidRPr="00B77971">
        <w:rPr>
          <w:rFonts w:ascii="Helvetica" w:eastAsia="Times New Roman" w:hAnsi="Helvetica" w:cs="Times New Roman"/>
          <w:color w:val="333333"/>
          <w:sz w:val="21"/>
          <w:szCs w:val="21"/>
        </w:rPr>
        <w:t xml:space="preserve">Upson, J., </w:t>
      </w:r>
      <w:proofErr w:type="spellStart"/>
      <w:r w:rsidRPr="00B77971">
        <w:rPr>
          <w:rFonts w:ascii="Helvetica" w:eastAsia="Times New Roman" w:hAnsi="Helvetica" w:cs="Times New Roman"/>
          <w:color w:val="333333"/>
          <w:sz w:val="21"/>
          <w:szCs w:val="21"/>
        </w:rPr>
        <w:t>Ketchen</w:t>
      </w:r>
      <w:proofErr w:type="spellEnd"/>
      <w:r w:rsidRPr="00B77971">
        <w:rPr>
          <w:rFonts w:ascii="Helvetica" w:eastAsia="Times New Roman" w:hAnsi="Helvetica" w:cs="Times New Roman"/>
          <w:color w:val="333333"/>
          <w:sz w:val="21"/>
          <w:szCs w:val="21"/>
        </w:rPr>
        <w:t xml:space="preserve">, D. J., Connelly, B., &amp; </w:t>
      </w:r>
      <w:proofErr w:type="spellStart"/>
      <w:r w:rsidRPr="00B77971">
        <w:rPr>
          <w:rFonts w:ascii="Helvetica" w:eastAsia="Times New Roman" w:hAnsi="Helvetica" w:cs="Times New Roman"/>
          <w:color w:val="333333"/>
          <w:sz w:val="21"/>
          <w:szCs w:val="21"/>
        </w:rPr>
        <w:t>Ranft</w:t>
      </w:r>
      <w:proofErr w:type="spellEnd"/>
      <w:r w:rsidRPr="00B77971">
        <w:rPr>
          <w:rFonts w:ascii="Helvetica" w:eastAsia="Times New Roman" w:hAnsi="Helvetica" w:cs="Times New Roman"/>
          <w:color w:val="333333"/>
          <w:sz w:val="21"/>
          <w:szCs w:val="21"/>
        </w:rPr>
        <w:t>, A. (2014, May 20). Competitor analysis and foothold moves. </w:t>
      </w:r>
      <w:r w:rsidRPr="00B77971">
        <w:rPr>
          <w:rFonts w:ascii="Helvetica" w:eastAsia="Times New Roman" w:hAnsi="Helvetica" w:cs="Times New Roman"/>
          <w:i/>
          <w:iCs/>
          <w:color w:val="333333"/>
          <w:sz w:val="21"/>
          <w:szCs w:val="21"/>
        </w:rPr>
        <w:t xml:space="preserve">Academy of Management </w:t>
      </w:r>
      <w:proofErr w:type="spellStart"/>
      <w:r w:rsidRPr="00B77971">
        <w:rPr>
          <w:rFonts w:ascii="Helvetica" w:eastAsia="Times New Roman" w:hAnsi="Helvetica" w:cs="Times New Roman"/>
          <w:i/>
          <w:iCs/>
          <w:color w:val="333333"/>
          <w:sz w:val="21"/>
          <w:szCs w:val="21"/>
        </w:rPr>
        <w:t>Journa</w:t>
      </w:r>
      <w:proofErr w:type="spellEnd"/>
    </w:p>
    <w:p w14:paraId="70005A85" w14:textId="77777777" w:rsidR="00E92F68" w:rsidRDefault="00B77971"/>
    <w:sectPr w:rsidR="00E92F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Segoe UI"/>
    <w:charset w:val="00"/>
    <w:family w:val="swiss"/>
    <w:pitch w:val="variable"/>
    <w:sig w:usb0="A00000AF" w:usb1="5000604B" w:usb2="00000000" w:usb3="00000000" w:csb0="00000093"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6207A"/>
    <w:multiLevelType w:val="multilevel"/>
    <w:tmpl w:val="2EFE11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1253D5"/>
    <w:multiLevelType w:val="multilevel"/>
    <w:tmpl w:val="A03A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D64E65"/>
    <w:multiLevelType w:val="multilevel"/>
    <w:tmpl w:val="9E20A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252C53"/>
    <w:multiLevelType w:val="multilevel"/>
    <w:tmpl w:val="634E3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6D2402"/>
    <w:multiLevelType w:val="multilevel"/>
    <w:tmpl w:val="31BA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971"/>
    <w:rsid w:val="00605D61"/>
    <w:rsid w:val="00B77971"/>
    <w:rsid w:val="00CC3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63AF"/>
  <w15:chartTrackingRefBased/>
  <w15:docId w15:val="{EE0E60B1-90B5-4C76-A869-CEAA9320A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797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797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79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97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797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797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779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7971"/>
    <w:rPr>
      <w:b/>
      <w:bCs/>
    </w:rPr>
  </w:style>
  <w:style w:type="paragraph" w:customStyle="1" w:styleId="citation">
    <w:name w:val="citation"/>
    <w:basedOn w:val="Normal"/>
    <w:rsid w:val="00B7797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77971"/>
    <w:rPr>
      <w:i/>
      <w:iCs/>
    </w:rPr>
  </w:style>
  <w:style w:type="paragraph" w:customStyle="1" w:styleId="text-center">
    <w:name w:val="text-center"/>
    <w:basedOn w:val="Normal"/>
    <w:rsid w:val="00B7797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77971"/>
    <w:rPr>
      <w:color w:val="0000FF"/>
      <w:u w:val="single"/>
    </w:rPr>
  </w:style>
  <w:style w:type="character" w:styleId="HTMLCite">
    <w:name w:val="HTML Cite"/>
    <w:basedOn w:val="DefaultParagraphFont"/>
    <w:uiPriority w:val="99"/>
    <w:semiHidden/>
    <w:unhideWhenUsed/>
    <w:rsid w:val="00B7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693849">
      <w:bodyDiv w:val="1"/>
      <w:marLeft w:val="0"/>
      <w:marRight w:val="0"/>
      <w:marTop w:val="0"/>
      <w:marBottom w:val="0"/>
      <w:divBdr>
        <w:top w:val="none" w:sz="0" w:space="0" w:color="auto"/>
        <w:left w:val="none" w:sz="0" w:space="0" w:color="auto"/>
        <w:bottom w:val="none" w:sz="0" w:space="0" w:color="auto"/>
        <w:right w:val="none" w:sz="0" w:space="0" w:color="auto"/>
      </w:divBdr>
      <w:divsChild>
        <w:div w:id="14386774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994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 TargetMode="External"/><Relationship Id="rId13" Type="http://schemas.openxmlformats.org/officeDocument/2006/relationships/image" Target="media/image7.png"/><Relationship Id="rId18" Type="http://schemas.openxmlformats.org/officeDocument/2006/relationships/hyperlink" Target="https://www.flickr.com/photos/zi1217/552806822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pentextbc.ca/strategicmanagement/chapter/making-competitive-moves/" TargetMode="Externa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creativecommons.org/licenses/by-sa/3.0/deed.en" TargetMode="External"/><Relationship Id="rId20" Type="http://schemas.openxmlformats.org/officeDocument/2006/relationships/hyperlink" Target="https://creativecommons.org/licenses/by/2.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lti.umuc.edu/contentadaptor/topics/byid/MakingCompetitiveMoves_File:Turisas_-_Jalometalli_2008_-_02.JPG" TargetMode="External"/><Relationship Id="rId10" Type="http://schemas.openxmlformats.org/officeDocument/2006/relationships/image" Target="media/image4.png"/><Relationship Id="rId19" Type="http://schemas.openxmlformats.org/officeDocument/2006/relationships/hyperlink" Target="https://www.flickr.com/photos/zi1217/552806822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3604</Words>
  <Characters>20549</Characters>
  <Application>Microsoft Office Word</Application>
  <DocSecurity>0</DocSecurity>
  <Lines>171</Lines>
  <Paragraphs>48</Paragraphs>
  <ScaleCrop>false</ScaleCrop>
  <Company/>
  <LinksUpToDate>false</LinksUpToDate>
  <CharactersWithSpaces>24105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ofe</dc:creator>
  <cp:keywords/>
  <dc:description/>
  <cp:lastModifiedBy>vernon ofe</cp:lastModifiedBy>
  <cp:revision>1</cp:revision>
  <dcterms:created xsi:type="dcterms:W3CDTF">2020-05-15T23:35:00Z</dcterms:created>
  <dcterms:modified xsi:type="dcterms:W3CDTF">2020-05-15T23:44:00Z</dcterms:modified>
</cp:coreProperties>
</file>